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400D3" w14:textId="069E5B1C" w:rsidR="008827C3" w:rsidRDefault="00E251E5" w:rsidP="6E83B9AD">
      <w:pPr>
        <w:pStyle w:val="Ttulo1"/>
        <w:spacing w:line="240" w:lineRule="auto"/>
        <w:rPr>
          <w:rFonts w:ascii="Arial" w:eastAsia="Arial" w:hAnsi="Arial" w:cs="Arial"/>
          <w:sz w:val="24"/>
          <w:szCs w:val="24"/>
          <w:lang w:val="es-ES"/>
        </w:rPr>
      </w:pPr>
      <w:r>
        <w:rPr>
          <w:noProof/>
          <w:lang w:val="es-ES_tradnl"/>
        </w:rPr>
        <w:drawing>
          <wp:anchor distT="0" distB="0" distL="114300" distR="114300" simplePos="0" relativeHeight="251658240" behindDoc="0" locked="0" layoutInCell="1" allowOverlap="1" wp14:anchorId="0ECE9EDB" wp14:editId="70C2DF40">
            <wp:simplePos x="0" y="0"/>
            <wp:positionH relativeFrom="column">
              <wp:posOffset>13970</wp:posOffset>
            </wp:positionH>
            <wp:positionV relativeFrom="paragraph">
              <wp:posOffset>0</wp:posOffset>
            </wp:positionV>
            <wp:extent cx="2188210" cy="1178560"/>
            <wp:effectExtent l="0" t="0" r="0" b="2540"/>
            <wp:wrapSquare wrapText="bothSides"/>
            <wp:docPr id="1462758232" name="Imagen 2" descr="Logos de la Suprema Corte de Justicia de la Nación y de la Unidad General de Conocimiento Científico y Derechos Hum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758232" name="Imagen 2" descr="Logos de la Suprema Corte de Justicia de la Nación y de la Unidad General de Conocimiento Científico y Derechos Humanos"/>
                    <pic:cNvPicPr/>
                  </pic:nvPicPr>
                  <pic:blipFill rotWithShape="1">
                    <a:blip r:embed="rId7" cstate="print">
                      <a:extLst>
                        <a:ext uri="{28A0092B-C50C-407E-A947-70E740481C1C}">
                          <a14:useLocalDpi xmlns:a14="http://schemas.microsoft.com/office/drawing/2010/main" val="0"/>
                        </a:ext>
                      </a:extLst>
                    </a:blip>
                    <a:srcRect t="6295"/>
                    <a:stretch/>
                  </pic:blipFill>
                  <pic:spPr bwMode="auto">
                    <a:xfrm>
                      <a:off x="0" y="0"/>
                      <a:ext cx="2188210" cy="117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6DD0BB" w14:textId="3B7731AC" w:rsidR="00AA3D94" w:rsidRDefault="00AA3D94" w:rsidP="6E83B9AD">
      <w:pPr>
        <w:pStyle w:val="Ttulo1"/>
        <w:spacing w:line="240" w:lineRule="auto"/>
        <w:rPr>
          <w:rFonts w:ascii="Arial" w:eastAsia="Arial" w:hAnsi="Arial" w:cs="Arial"/>
          <w:lang w:val="es-ES"/>
        </w:rPr>
      </w:pPr>
    </w:p>
    <w:p w14:paraId="2BC4CC4B" w14:textId="63C576DC" w:rsidR="00B30EDE" w:rsidRDefault="00050298" w:rsidP="6E83B9AD">
      <w:pPr>
        <w:pStyle w:val="Ttulo1"/>
        <w:spacing w:line="240" w:lineRule="auto"/>
        <w:rPr>
          <w:rFonts w:ascii="Arial" w:eastAsia="Arial" w:hAnsi="Arial" w:cs="Arial"/>
          <w:lang w:val="es-ES"/>
        </w:rPr>
      </w:pPr>
      <w:r w:rsidRPr="33F8DE2A">
        <w:rPr>
          <w:rFonts w:ascii="Arial" w:eastAsia="Arial" w:hAnsi="Arial" w:cs="Arial"/>
          <w:lang w:val="es-ES"/>
        </w:rPr>
        <w:t xml:space="preserve">Boletín en materia de </w:t>
      </w:r>
      <w:r w:rsidR="006D55DA" w:rsidRPr="33F8DE2A">
        <w:rPr>
          <w:rFonts w:ascii="Arial" w:eastAsia="Arial" w:hAnsi="Arial" w:cs="Arial"/>
          <w:lang w:val="es-ES"/>
        </w:rPr>
        <w:t>derechos humanos edición</w:t>
      </w:r>
      <w:r w:rsidRPr="33F8DE2A">
        <w:rPr>
          <w:rFonts w:ascii="Arial" w:eastAsia="Arial" w:hAnsi="Arial" w:cs="Arial"/>
          <w:lang w:val="es-ES"/>
        </w:rPr>
        <w:t xml:space="preserve"> </w:t>
      </w:r>
      <w:r w:rsidR="005F0AF0" w:rsidRPr="33F8DE2A">
        <w:rPr>
          <w:rFonts w:ascii="Arial" w:eastAsia="Arial" w:hAnsi="Arial" w:cs="Arial"/>
          <w:lang w:val="es-ES"/>
        </w:rPr>
        <w:t xml:space="preserve">de </w:t>
      </w:r>
      <w:r w:rsidRPr="33F8DE2A">
        <w:rPr>
          <w:rFonts w:ascii="Arial" w:eastAsia="Arial" w:hAnsi="Arial" w:cs="Arial"/>
          <w:lang w:val="es-ES"/>
        </w:rPr>
        <w:t xml:space="preserve">octubre </w:t>
      </w:r>
      <w:r w:rsidR="006D55DA" w:rsidRPr="33F8DE2A">
        <w:rPr>
          <w:rFonts w:ascii="Arial" w:eastAsia="Arial" w:hAnsi="Arial" w:cs="Arial"/>
          <w:lang w:val="es-ES"/>
        </w:rPr>
        <w:t>y</w:t>
      </w:r>
      <w:r w:rsidRPr="33F8DE2A">
        <w:rPr>
          <w:rFonts w:ascii="Arial" w:eastAsia="Arial" w:hAnsi="Arial" w:cs="Arial"/>
          <w:lang w:val="es-ES"/>
        </w:rPr>
        <w:t xml:space="preserve"> noviembre </w:t>
      </w:r>
      <w:r w:rsidR="006D55DA" w:rsidRPr="33F8DE2A">
        <w:rPr>
          <w:rFonts w:ascii="Arial" w:eastAsia="Arial" w:hAnsi="Arial" w:cs="Arial"/>
          <w:lang w:val="es-ES"/>
        </w:rPr>
        <w:t xml:space="preserve">de </w:t>
      </w:r>
      <w:r w:rsidR="005F0AF0" w:rsidRPr="33F8DE2A">
        <w:rPr>
          <w:rFonts w:ascii="Arial" w:eastAsia="Arial" w:hAnsi="Arial" w:cs="Arial"/>
          <w:lang w:val="es-ES"/>
        </w:rPr>
        <w:t>2024</w:t>
      </w:r>
    </w:p>
    <w:p w14:paraId="2910ED0E" w14:textId="0E51DCB2" w:rsidR="00050298" w:rsidRDefault="00050298" w:rsidP="6E83B9AD">
      <w:pPr>
        <w:spacing w:line="240" w:lineRule="auto"/>
        <w:rPr>
          <w:rFonts w:ascii="Arial" w:eastAsia="Arial" w:hAnsi="Arial" w:cs="Arial"/>
          <w:b/>
          <w:lang w:val="es-ES"/>
        </w:rPr>
      </w:pPr>
      <w:r w:rsidRPr="33F8DE2A">
        <w:rPr>
          <w:rFonts w:ascii="Arial" w:eastAsia="Arial" w:hAnsi="Arial" w:cs="Arial"/>
          <w:b/>
          <w:lang w:val="es-ES"/>
        </w:rPr>
        <w:t>Criterios internacionales en materia de derechos humanos</w:t>
      </w:r>
    </w:p>
    <w:p w14:paraId="1BF5EABA" w14:textId="30CB5D66" w:rsidR="00B30EDE" w:rsidRPr="00116A7E" w:rsidRDefault="00116A7E" w:rsidP="6E83B9AD">
      <w:pPr>
        <w:spacing w:line="240" w:lineRule="auto"/>
        <w:rPr>
          <w:rFonts w:ascii="Arial" w:eastAsia="Arial" w:hAnsi="Arial" w:cs="Arial"/>
          <w:lang w:val="es-ES"/>
        </w:rPr>
      </w:pPr>
      <w:r w:rsidRPr="33F8DE2A">
        <w:rPr>
          <w:rFonts w:ascii="Arial" w:eastAsia="Arial" w:hAnsi="Arial" w:cs="Arial"/>
          <w:b/>
          <w:lang w:val="es-ES"/>
        </w:rPr>
        <w:t>Nota editorial.</w:t>
      </w:r>
      <w:r w:rsidRPr="33F8DE2A">
        <w:rPr>
          <w:rFonts w:ascii="Arial" w:eastAsia="Arial" w:hAnsi="Arial" w:cs="Arial"/>
          <w:lang w:val="es-ES"/>
        </w:rPr>
        <w:t xml:space="preserve"> </w:t>
      </w:r>
      <w:r w:rsidR="34C13EA9" w:rsidRPr="33F8DE2A">
        <w:rPr>
          <w:rFonts w:ascii="Arial" w:eastAsia="Arial" w:hAnsi="Arial" w:cs="Arial"/>
          <w:lang w:val="es-ES"/>
        </w:rPr>
        <w:t>L</w:t>
      </w:r>
      <w:r w:rsidR="750B3504" w:rsidRPr="33F8DE2A">
        <w:rPr>
          <w:rFonts w:ascii="Arial" w:eastAsia="Arial" w:hAnsi="Arial" w:cs="Arial"/>
          <w:lang w:val="es-ES"/>
        </w:rPr>
        <w:t xml:space="preserve">a Unidad General de Conocimiento Científico y Derechos Humanos de la Suprema Corte de Justicia de la Nación presenta la </w:t>
      </w:r>
      <w:r w:rsidR="6FD02E23" w:rsidRPr="33F8DE2A">
        <w:rPr>
          <w:rFonts w:ascii="Arial" w:eastAsia="Arial" w:hAnsi="Arial" w:cs="Arial"/>
          <w:lang w:val="es-ES"/>
        </w:rPr>
        <w:t>quin</w:t>
      </w:r>
      <w:r w:rsidR="750B3504" w:rsidRPr="33F8DE2A">
        <w:rPr>
          <w:rFonts w:ascii="Arial" w:eastAsia="Arial" w:hAnsi="Arial" w:cs="Arial"/>
          <w:lang w:val="es-ES"/>
        </w:rPr>
        <w:t>ta edición del Boletín en Materia de Derechos Humanos. En este nuevo formato de periodicidad bimestral, el Boletín agrupa los criterios y noticias más relevantes en el ámbito del derecho internacional a partir de temáticas concretas y las relaciona con los últimos precedentes emitidos por la Suprema Corte. El objetivo de esta nueva edición es informar, tanto al público en general como a una audiencia especializada, sobre los últimos acontecimientos en la materia, así como contribuir con el despliegue de las funciones asociadas a la impartición de justicia en nuestro país.</w:t>
      </w:r>
    </w:p>
    <w:p w14:paraId="4CCF0750" w14:textId="5C01370F" w:rsidR="00B30EDE" w:rsidRPr="00116A7E" w:rsidRDefault="3D83C995" w:rsidP="3A78B043">
      <w:pPr>
        <w:spacing w:after="0" w:line="240" w:lineRule="auto"/>
        <w:rPr>
          <w:rFonts w:ascii="Arial" w:eastAsia="Arial" w:hAnsi="Arial" w:cs="Arial"/>
          <w:lang w:val="es-ES"/>
          <w:rPrChange w:id="0" w:author="Server Document" w:date="2024-12-11T16:15:00Z" w16du:dateUtc="2024-12-11T22:15:00Z">
            <w:rPr>
              <w:rFonts w:ascii="Arial" w:eastAsia="Arial" w:hAnsi="Arial" w:cs="Arial"/>
              <w:b/>
              <w:bCs/>
              <w:lang w:val="es-ES"/>
            </w:rPr>
          </w:rPrChange>
        </w:rPr>
      </w:pPr>
      <w:r w:rsidRPr="3A78B043">
        <w:rPr>
          <w:rFonts w:ascii="Arial" w:eastAsia="Arial" w:hAnsi="Arial" w:cs="Arial"/>
          <w:lang w:val="es-ES"/>
        </w:rPr>
        <w:t>El tema central de esta edición es</w:t>
      </w:r>
      <w:r w:rsidR="3BD6C047" w:rsidRPr="3A78B043">
        <w:rPr>
          <w:rFonts w:ascii="Arial" w:eastAsia="Arial" w:hAnsi="Arial" w:cs="Arial"/>
          <w:lang w:val="es-ES"/>
        </w:rPr>
        <w:t xml:space="preserve"> el derecho de los niños, niñas y adolescentes. </w:t>
      </w:r>
      <w:r w:rsidR="5EDA3F91" w:rsidRPr="3A78B043">
        <w:rPr>
          <w:rFonts w:ascii="Arial" w:eastAsia="Arial" w:hAnsi="Arial" w:cs="Arial"/>
          <w:lang w:val="es-ES"/>
        </w:rPr>
        <w:t>Por esta razón,</w:t>
      </w:r>
      <w:r w:rsidR="68C36DFC" w:rsidRPr="3A78B043">
        <w:rPr>
          <w:rFonts w:ascii="Arial" w:eastAsia="Arial" w:hAnsi="Arial" w:cs="Arial"/>
          <w:lang w:val="es-ES"/>
        </w:rPr>
        <w:t xml:space="preserve"> </w:t>
      </w:r>
      <w:r w:rsidR="55DCE4A6" w:rsidRPr="3A78B043">
        <w:rPr>
          <w:rFonts w:ascii="Arial" w:eastAsia="Arial" w:hAnsi="Arial" w:cs="Arial"/>
          <w:lang w:val="es-ES"/>
        </w:rPr>
        <w:t xml:space="preserve">el boletín se divide como sigue: </w:t>
      </w:r>
      <w:r w:rsidR="68C36DFC" w:rsidRPr="3A78B043">
        <w:rPr>
          <w:rFonts w:ascii="Arial" w:eastAsia="Arial" w:hAnsi="Arial" w:cs="Arial"/>
          <w:lang w:val="es-ES"/>
        </w:rPr>
        <w:t>la primera</w:t>
      </w:r>
      <w:r w:rsidR="5EDA3F91" w:rsidRPr="3A78B043">
        <w:rPr>
          <w:rFonts w:ascii="Arial" w:eastAsia="Arial" w:hAnsi="Arial" w:cs="Arial"/>
          <w:lang w:val="es-ES"/>
        </w:rPr>
        <w:t xml:space="preserve"> página</w:t>
      </w:r>
      <w:r w:rsidR="68C36DFC" w:rsidRPr="3A78B043">
        <w:rPr>
          <w:rFonts w:ascii="Arial" w:eastAsia="Arial" w:hAnsi="Arial" w:cs="Arial"/>
          <w:lang w:val="es-ES"/>
        </w:rPr>
        <w:t xml:space="preserve"> atiende la sustentación de México ante el Comité de los Derechos del Niño de las Naciones Unidas. La segunda, </w:t>
      </w:r>
      <w:r w:rsidR="4EDD5A25" w:rsidRPr="3A78B043">
        <w:rPr>
          <w:rFonts w:ascii="Arial" w:eastAsia="Arial" w:hAnsi="Arial" w:cs="Arial"/>
          <w:lang w:val="es-ES"/>
        </w:rPr>
        <w:t xml:space="preserve">como </w:t>
      </w:r>
      <w:r w:rsidR="68C36DFC" w:rsidRPr="3A78B043">
        <w:rPr>
          <w:rFonts w:ascii="Arial" w:eastAsia="Arial" w:hAnsi="Arial" w:cs="Arial"/>
          <w:lang w:val="es-ES"/>
        </w:rPr>
        <w:t xml:space="preserve">es la administración de justicia en México para los niños, niñas y adolescentes. La tercera, </w:t>
      </w:r>
      <w:r w:rsidR="4FC39A1D" w:rsidRPr="3A78B043">
        <w:rPr>
          <w:rFonts w:ascii="Arial" w:eastAsia="Arial" w:hAnsi="Arial" w:cs="Arial"/>
          <w:lang w:val="es-ES"/>
        </w:rPr>
        <w:t>l</w:t>
      </w:r>
      <w:r w:rsidR="66DF05B1" w:rsidRPr="3A78B043">
        <w:rPr>
          <w:rFonts w:ascii="Arial" w:eastAsia="Arial" w:hAnsi="Arial" w:cs="Arial"/>
          <w:lang w:val="es-ES"/>
        </w:rPr>
        <w:t>a posición de México frente a los sistemas internacionales de justicia. La</w:t>
      </w:r>
      <w:r w:rsidR="68C36DFC" w:rsidRPr="3A78B043">
        <w:rPr>
          <w:rFonts w:ascii="Arial" w:eastAsia="Arial" w:hAnsi="Arial" w:cs="Arial"/>
          <w:lang w:val="es-ES"/>
        </w:rPr>
        <w:t xml:space="preserve"> cuarta, el panorama internacional en materia de derechos humanos y, la quinta, </w:t>
      </w:r>
      <w:r w:rsidR="2C4F5B4D" w:rsidRPr="3A78B043">
        <w:rPr>
          <w:rFonts w:ascii="Arial" w:eastAsia="Arial" w:hAnsi="Arial" w:cs="Arial"/>
          <w:lang w:val="es-ES"/>
        </w:rPr>
        <w:t xml:space="preserve">las </w:t>
      </w:r>
      <w:r w:rsidR="68C36DFC" w:rsidRPr="3A78B043">
        <w:rPr>
          <w:rFonts w:ascii="Arial" w:eastAsia="Arial" w:hAnsi="Arial" w:cs="Arial"/>
          <w:lang w:val="es-ES"/>
        </w:rPr>
        <w:t>sentencias relevantes de justicia internacional relacionadas con niños niñas y adolescentes, así como algunas noticias relacionadas con el tema.</w:t>
      </w:r>
      <w:r w:rsidR="581FDB5D" w:rsidRPr="3A78B043">
        <w:rPr>
          <w:rFonts w:ascii="Arial" w:eastAsia="Arial" w:hAnsi="Arial" w:cs="Arial"/>
          <w:lang w:val="es-ES"/>
        </w:rPr>
        <w:t xml:space="preserve"> Es preciso señalar que, aunque el boletín se presenta en formato accesible, el contenido de algunos de los enlaces sugeridos no lo es.</w:t>
      </w:r>
    </w:p>
    <w:p w14:paraId="69AEED2E" w14:textId="3D4256C7" w:rsidR="00B30EDE" w:rsidRPr="00B30EDE" w:rsidRDefault="000D3EE2" w:rsidP="6E83B9AD">
      <w:pPr>
        <w:pStyle w:val="Ttulo1"/>
        <w:spacing w:line="240" w:lineRule="auto"/>
        <w:rPr>
          <w:rFonts w:ascii="Arial" w:eastAsia="Arial" w:hAnsi="Arial" w:cs="Arial"/>
          <w:lang w:val="es-ES"/>
        </w:rPr>
      </w:pPr>
      <w:r w:rsidRPr="6E83B9AD">
        <w:rPr>
          <w:rFonts w:ascii="Arial" w:eastAsia="Arial" w:hAnsi="Arial" w:cs="Arial"/>
          <w:lang w:val="es-ES"/>
        </w:rPr>
        <w:t>D</w:t>
      </w:r>
      <w:r w:rsidR="00B30EDE" w:rsidRPr="6E83B9AD">
        <w:rPr>
          <w:rFonts w:ascii="Arial" w:eastAsia="Arial" w:hAnsi="Arial" w:cs="Arial"/>
          <w:lang w:val="es-ES"/>
        </w:rPr>
        <w:t>erechos de los Niños, Niñas y Adolescentes</w:t>
      </w:r>
    </w:p>
    <w:p w14:paraId="34DFE229" w14:textId="3B0765ED" w:rsidR="00050298" w:rsidRPr="00B30EDE" w:rsidRDefault="0023685A" w:rsidP="6E83B9AD">
      <w:pPr>
        <w:spacing w:line="240" w:lineRule="auto"/>
        <w:rPr>
          <w:rFonts w:ascii="Arial" w:eastAsia="Arial" w:hAnsi="Arial" w:cs="Arial"/>
          <w:lang w:val="es-ES"/>
        </w:rPr>
      </w:pPr>
      <w:r w:rsidRPr="05A0A611">
        <w:rPr>
          <w:rFonts w:ascii="Arial" w:eastAsia="Arial" w:hAnsi="Arial" w:cs="Arial"/>
          <w:lang w:val="es-ES"/>
        </w:rPr>
        <w:t>En este apartado se informa</w:t>
      </w:r>
      <w:r w:rsidR="00023164" w:rsidRPr="05A0A611">
        <w:rPr>
          <w:rFonts w:ascii="Arial" w:eastAsia="Arial" w:hAnsi="Arial" w:cs="Arial"/>
          <w:lang w:val="es-ES"/>
        </w:rPr>
        <w:t xml:space="preserve"> que el </w:t>
      </w:r>
      <w:r w:rsidR="00050298" w:rsidRPr="33F8DE2A">
        <w:rPr>
          <w:rFonts w:ascii="Arial" w:eastAsia="Arial" w:hAnsi="Arial" w:cs="Arial"/>
          <w:lang w:val="es-ES"/>
        </w:rPr>
        <w:t xml:space="preserve">16 de septiembre de 2024, el Comité </w:t>
      </w:r>
      <w:r w:rsidR="00023164" w:rsidRPr="23B0D9C3">
        <w:rPr>
          <w:rFonts w:ascii="Arial" w:eastAsia="Arial" w:hAnsi="Arial" w:cs="Arial"/>
          <w:lang w:val="es-ES"/>
        </w:rPr>
        <w:t>de los Derechos del Niño de Naciones Unidas</w:t>
      </w:r>
      <w:r w:rsidR="00023164" w:rsidRPr="33F8DE2A">
        <w:rPr>
          <w:rFonts w:ascii="Arial" w:eastAsia="Arial" w:hAnsi="Arial" w:cs="Arial"/>
          <w:lang w:val="es-ES"/>
        </w:rPr>
        <w:t xml:space="preserve"> </w:t>
      </w:r>
      <w:r w:rsidR="00050298" w:rsidRPr="33F8DE2A">
        <w:rPr>
          <w:rFonts w:ascii="Arial" w:eastAsia="Arial" w:hAnsi="Arial" w:cs="Arial"/>
          <w:lang w:val="es-ES"/>
        </w:rPr>
        <w:t xml:space="preserve">adoptó las Observaciones Finales respecto de los informes periódicos sexto y séptimo combinados de México. En él reconoció los avances relacionados con medidas institucionales y de política sobre los derechos de niñas, niños y adolescentes (NNA) del país, tales como la adopción del Programa Nacional de Protección de Niñas, Niños y Adolescentes y la aceptación de la competencia del Comité de Desapariciones Forzadas para recibir y considerar comunicaciones respecto de México, entre otros. </w:t>
      </w:r>
    </w:p>
    <w:p w14:paraId="581ECD7F" w14:textId="0F0173E7" w:rsidR="00050298" w:rsidRPr="00B30EDE" w:rsidRDefault="00050298" w:rsidP="6E83B9AD">
      <w:pPr>
        <w:spacing w:line="240" w:lineRule="auto"/>
        <w:rPr>
          <w:rFonts w:ascii="Arial" w:eastAsia="Arial" w:hAnsi="Arial" w:cs="Arial"/>
          <w:lang w:val="es-ES"/>
        </w:rPr>
      </w:pPr>
      <w:r w:rsidRPr="33F8DE2A">
        <w:rPr>
          <w:rFonts w:ascii="Arial" w:eastAsia="Arial" w:hAnsi="Arial" w:cs="Arial"/>
          <w:lang w:val="es-ES"/>
        </w:rPr>
        <w:lastRenderedPageBreak/>
        <w:t>Además, el Comité dirigió 54 recomendaciones a México. E</w:t>
      </w:r>
      <w:r w:rsidR="00DD4AAB" w:rsidRPr="33F8DE2A">
        <w:rPr>
          <w:rFonts w:ascii="Arial" w:eastAsia="Arial" w:hAnsi="Arial" w:cs="Arial"/>
          <w:lang w:val="es-ES"/>
        </w:rPr>
        <w:t>specíficamente e</w:t>
      </w:r>
      <w:r w:rsidRPr="33F8DE2A">
        <w:rPr>
          <w:rFonts w:ascii="Arial" w:eastAsia="Arial" w:hAnsi="Arial" w:cs="Arial"/>
          <w:lang w:val="es-ES"/>
        </w:rPr>
        <w:t>n materia de acceso a la justicia:</w:t>
      </w:r>
    </w:p>
    <w:p w14:paraId="0F8AB26B" w14:textId="7E6B6140" w:rsidR="00471EBE" w:rsidRPr="005F0AF0" w:rsidRDefault="7EE23CA8" w:rsidP="6E83B9AD">
      <w:pPr>
        <w:pStyle w:val="Prrafodelista"/>
        <w:numPr>
          <w:ilvl w:val="0"/>
          <w:numId w:val="14"/>
        </w:numPr>
        <w:spacing w:line="240" w:lineRule="auto"/>
        <w:rPr>
          <w:rFonts w:ascii="Arial" w:eastAsia="Arial" w:hAnsi="Arial" w:cs="Arial"/>
          <w:lang w:val="es-ES"/>
        </w:rPr>
      </w:pPr>
      <w:r w:rsidRPr="6E83B9AD">
        <w:rPr>
          <w:rFonts w:ascii="Arial" w:eastAsia="Arial" w:hAnsi="Arial" w:cs="Arial"/>
          <w:lang w:val="es-ES"/>
        </w:rPr>
        <w:t xml:space="preserve">Recomendó armonizar y garantizar </w:t>
      </w:r>
      <w:r w:rsidR="00050298" w:rsidRPr="33F8DE2A">
        <w:rPr>
          <w:rFonts w:ascii="Arial" w:eastAsia="Arial" w:hAnsi="Arial" w:cs="Arial"/>
          <w:lang w:val="es-ES"/>
        </w:rPr>
        <w:t xml:space="preserve">la implementación efectiva de los protocolos adoptados por el sistema judicial para asegurar que todos los niños tengan acceso a mecanismos de quejas confidenciales, amigables para los niños e independientes...; </w:t>
      </w:r>
    </w:p>
    <w:p w14:paraId="088BF73C" w14:textId="51EB9B7D" w:rsidR="00471EBE" w:rsidRPr="005F0AF0" w:rsidRDefault="6E148F0B" w:rsidP="6E83B9AD">
      <w:pPr>
        <w:pStyle w:val="Prrafodelista"/>
        <w:numPr>
          <w:ilvl w:val="0"/>
          <w:numId w:val="14"/>
        </w:numPr>
        <w:spacing w:line="240" w:lineRule="auto"/>
        <w:rPr>
          <w:rFonts w:ascii="Arial" w:eastAsia="Arial" w:hAnsi="Arial" w:cs="Arial"/>
          <w:lang w:val="es-ES"/>
        </w:rPr>
      </w:pPr>
      <w:r w:rsidRPr="6E83B9AD">
        <w:rPr>
          <w:rFonts w:ascii="Arial" w:eastAsia="Arial" w:hAnsi="Arial" w:cs="Arial"/>
          <w:lang w:val="es-ES"/>
        </w:rPr>
        <w:t>Recomendó aumentar</w:t>
      </w:r>
      <w:r w:rsidR="00050298" w:rsidRPr="33F8DE2A">
        <w:rPr>
          <w:rFonts w:ascii="Arial" w:eastAsia="Arial" w:hAnsi="Arial" w:cs="Arial"/>
          <w:lang w:val="es-ES"/>
        </w:rPr>
        <w:t xml:space="preserve"> la conciencia entre los niños sobre su derecho a presentar quejas bajo los mecanismos existentes...; </w:t>
      </w:r>
    </w:p>
    <w:p w14:paraId="0D2E5283" w14:textId="33998B37" w:rsidR="00050298" w:rsidRPr="00B30EDE" w:rsidRDefault="3C677F2C" w:rsidP="5D063D8C">
      <w:pPr>
        <w:pStyle w:val="Prrafodelista"/>
        <w:numPr>
          <w:ilvl w:val="0"/>
          <w:numId w:val="14"/>
        </w:numPr>
        <w:spacing w:line="240" w:lineRule="auto"/>
        <w:rPr>
          <w:rFonts w:ascii="Arial" w:eastAsia="Arial" w:hAnsi="Arial" w:cs="Arial"/>
          <w:b/>
          <w:bCs/>
          <w:lang w:val="es-ES"/>
        </w:rPr>
      </w:pPr>
      <w:r w:rsidRPr="6E83B9AD">
        <w:rPr>
          <w:rFonts w:ascii="Arial" w:eastAsia="Arial" w:hAnsi="Arial" w:cs="Arial"/>
          <w:lang w:val="es-ES"/>
        </w:rPr>
        <w:t>Recomendó asegurar</w:t>
      </w:r>
      <w:r w:rsidR="00050298" w:rsidRPr="33F8DE2A">
        <w:rPr>
          <w:rFonts w:ascii="Arial" w:eastAsia="Arial" w:hAnsi="Arial" w:cs="Arial"/>
          <w:lang w:val="es-ES"/>
        </w:rPr>
        <w:t xml:space="preserve"> que el proceso de reforma judicial fortalezca un enfoque de derechos de los niños en las revisiones judiciales y garantice la capacitación sistemática y obligatoria de todos los profesionales relevantes que trabajan con NNA.</w:t>
      </w:r>
      <w:r w:rsidR="001A4E42" w:rsidRPr="33F8DE2A">
        <w:rPr>
          <w:rFonts w:ascii="Arial" w:eastAsia="Arial" w:hAnsi="Arial" w:cs="Arial"/>
          <w:lang w:val="es-ES"/>
        </w:rPr>
        <w:t xml:space="preserve"> </w:t>
      </w:r>
      <w:r w:rsidR="41ADC9CC" w:rsidRPr="33F8DE2A">
        <w:rPr>
          <w:rFonts w:ascii="Arial" w:eastAsia="Arial" w:hAnsi="Arial" w:cs="Arial"/>
          <w:lang w:val="es-ES"/>
        </w:rPr>
        <w:t>(</w:t>
      </w:r>
      <w:r w:rsidR="001A4E42" w:rsidRPr="33F8DE2A">
        <w:rPr>
          <w:rFonts w:ascii="Arial" w:eastAsia="Arial" w:hAnsi="Arial" w:cs="Arial"/>
          <w:lang w:val="es-ES"/>
        </w:rPr>
        <w:t>Para conocer la página</w:t>
      </w:r>
      <w:r w:rsidR="00116A7E" w:rsidRPr="33F8DE2A">
        <w:rPr>
          <w:rFonts w:ascii="Arial" w:eastAsia="Arial" w:hAnsi="Arial" w:cs="Arial"/>
          <w:lang w:val="es-ES"/>
        </w:rPr>
        <w:t xml:space="preserve"> de las observaciones</w:t>
      </w:r>
      <w:r w:rsidR="001A4E42" w:rsidRPr="33F8DE2A">
        <w:rPr>
          <w:rFonts w:ascii="Arial" w:eastAsia="Arial" w:hAnsi="Arial" w:cs="Arial"/>
          <w:lang w:val="es-ES"/>
        </w:rPr>
        <w:t>, enlace aquí:</w:t>
      </w:r>
      <w:r w:rsidR="005F0AF0" w:rsidRPr="33F8DE2A">
        <w:rPr>
          <w:rFonts w:ascii="Arial" w:eastAsia="Arial" w:hAnsi="Arial" w:cs="Arial"/>
          <w:lang w:val="es-ES"/>
        </w:rPr>
        <w:t xml:space="preserve"> </w:t>
      </w:r>
      <w:hyperlink r:id="rId8">
        <w:r w:rsidR="005F0AF0" w:rsidRPr="33F8DE2A">
          <w:rPr>
            <w:rStyle w:val="Hipervnculo"/>
            <w:rFonts w:ascii="Arial" w:eastAsia="Arial" w:hAnsi="Arial" w:cs="Arial"/>
            <w:lang w:val="es-ES"/>
          </w:rPr>
          <w:t>https://tbinternet.ohchr.org/_layouts/15/treatybodyexternal/Download.aspx?symbolno=CRC%2FC%2FMEX%2FCO%2F6-7&amp;Lang=es</w:t>
        </w:r>
      </w:hyperlink>
      <w:r w:rsidR="5231B264" w:rsidRPr="33F8DE2A">
        <w:rPr>
          <w:rFonts w:ascii="Arial" w:eastAsia="Arial" w:hAnsi="Arial" w:cs="Arial"/>
          <w:lang w:val="es-ES"/>
        </w:rPr>
        <w:t xml:space="preserve"> ).</w:t>
      </w:r>
      <w:r w:rsidR="00050298" w:rsidRPr="33F8DE2A">
        <w:rPr>
          <w:rFonts w:ascii="Arial" w:eastAsia="Arial" w:hAnsi="Arial" w:cs="Arial"/>
          <w:lang w:val="es-ES"/>
        </w:rPr>
        <w:t>Conoce también la participación del Poder Judicial en la sustentación de México ante el Comité de derechos del niño.</w:t>
      </w:r>
      <w:r w:rsidR="00611066" w:rsidRPr="33F8DE2A">
        <w:rPr>
          <w:rFonts w:ascii="Arial" w:eastAsia="Arial" w:hAnsi="Arial" w:cs="Arial"/>
          <w:lang w:val="es-ES"/>
        </w:rPr>
        <w:t xml:space="preserve"> </w:t>
      </w:r>
      <w:r w:rsidR="132CA6F6" w:rsidRPr="33F8DE2A">
        <w:rPr>
          <w:rFonts w:ascii="Arial" w:eastAsia="Arial" w:hAnsi="Arial" w:cs="Arial"/>
          <w:lang w:val="es-ES"/>
        </w:rPr>
        <w:t>(</w:t>
      </w:r>
      <w:r w:rsidR="00611066" w:rsidRPr="33F8DE2A">
        <w:rPr>
          <w:rFonts w:ascii="Arial" w:eastAsia="Arial" w:hAnsi="Arial" w:cs="Arial"/>
          <w:lang w:val="es-ES"/>
        </w:rPr>
        <w:t>E</w:t>
      </w:r>
      <w:r w:rsidR="00316CC2" w:rsidRPr="33F8DE2A">
        <w:rPr>
          <w:rFonts w:ascii="Arial" w:eastAsia="Arial" w:hAnsi="Arial" w:cs="Arial"/>
          <w:lang w:val="es-ES"/>
        </w:rPr>
        <w:t>nlace aquí:</w:t>
      </w:r>
      <w:r w:rsidR="559914D0" w:rsidRPr="6E83B9AD">
        <w:rPr>
          <w:rFonts w:ascii="Arial" w:eastAsia="Arial" w:hAnsi="Arial" w:cs="Arial"/>
          <w:lang w:val="es-ES"/>
        </w:rPr>
        <w:t xml:space="preserve"> </w:t>
      </w:r>
      <w:r w:rsidR="00316CC2" w:rsidRPr="33F8DE2A">
        <w:rPr>
          <w:rFonts w:ascii="Arial" w:eastAsia="Arial" w:hAnsi="Arial" w:cs="Arial"/>
          <w:lang w:val="es-ES"/>
        </w:rPr>
        <w:t xml:space="preserve"> </w:t>
      </w:r>
      <w:hyperlink r:id="rId9">
        <w:r w:rsidR="00316CC2" w:rsidRPr="33F8DE2A">
          <w:rPr>
            <w:rStyle w:val="Hipervnculo"/>
            <w:rFonts w:ascii="Arial" w:eastAsia="Arial" w:hAnsi="Arial" w:cs="Arial"/>
            <w:lang w:val="es-ES"/>
          </w:rPr>
          <w:t>https://webtv.un.org/en/asset/k1w/k1w2r1hnea</w:t>
        </w:r>
      </w:hyperlink>
      <w:r w:rsidR="366DD0DC" w:rsidRPr="33F8DE2A">
        <w:rPr>
          <w:rFonts w:ascii="Arial" w:eastAsia="Arial" w:hAnsi="Arial" w:cs="Arial"/>
          <w:lang w:val="es-ES"/>
        </w:rPr>
        <w:t>).</w:t>
      </w:r>
      <w:r w:rsidR="2D79755D" w:rsidRPr="6E83B9AD">
        <w:rPr>
          <w:rFonts w:ascii="Arial" w:eastAsia="Arial" w:hAnsi="Arial" w:cs="Arial"/>
          <w:lang w:val="es-ES"/>
        </w:rPr>
        <w:t xml:space="preserve"> </w:t>
      </w:r>
    </w:p>
    <w:p w14:paraId="7BD9EB6F" w14:textId="0BC69550" w:rsidR="00050298" w:rsidRPr="00B30EDE" w:rsidRDefault="5101B4DE" w:rsidP="55A00004">
      <w:pPr>
        <w:pStyle w:val="Ttulo1"/>
        <w:rPr>
          <w:rFonts w:ascii="Arial" w:eastAsia="Arial" w:hAnsi="Arial" w:cs="Arial"/>
          <w:lang w:val="es-ES"/>
        </w:rPr>
      </w:pPr>
      <w:r w:rsidRPr="55A00004">
        <w:rPr>
          <w:rFonts w:ascii="Arial" w:eastAsia="Arial" w:hAnsi="Arial" w:cs="Arial"/>
          <w:lang w:val="es-ES"/>
        </w:rPr>
        <w:t xml:space="preserve">Proyecto de Observación General sobre el derecho de los niños al acceso a la justicia y a recursos efectivos </w:t>
      </w:r>
    </w:p>
    <w:p w14:paraId="7366CD57" w14:textId="1CBEB81F" w:rsidR="00471EBE" w:rsidRPr="005F0AF0" w:rsidRDefault="00DA1A05" w:rsidP="6E83B9AD">
      <w:pPr>
        <w:spacing w:line="240" w:lineRule="auto"/>
        <w:rPr>
          <w:rFonts w:ascii="Arial" w:eastAsia="Arial" w:hAnsi="Arial" w:cs="Arial"/>
          <w:lang w:val="es-ES"/>
        </w:rPr>
      </w:pPr>
      <w:r w:rsidRPr="33F8DE2A">
        <w:rPr>
          <w:rFonts w:ascii="Arial" w:eastAsia="Arial" w:hAnsi="Arial" w:cs="Arial"/>
          <w:lang w:val="es-ES"/>
        </w:rPr>
        <w:t>En este apartado se destaca que</w:t>
      </w:r>
      <w:r w:rsidR="00CC1C2F" w:rsidRPr="33F8DE2A">
        <w:rPr>
          <w:rFonts w:ascii="Arial" w:eastAsia="Arial" w:hAnsi="Arial" w:cs="Arial"/>
          <w:lang w:val="es-ES"/>
        </w:rPr>
        <w:t xml:space="preserve"> </w:t>
      </w:r>
      <w:r w:rsidR="00CC1C2F" w:rsidRPr="6E83B9AD">
        <w:rPr>
          <w:rFonts w:ascii="Arial" w:eastAsia="Arial" w:hAnsi="Arial" w:cs="Arial"/>
          <w:lang w:val="es-ES"/>
        </w:rPr>
        <w:t>e</w:t>
      </w:r>
      <w:r w:rsidR="00050298" w:rsidRPr="6E83B9AD">
        <w:rPr>
          <w:rFonts w:ascii="Arial" w:eastAsia="Arial" w:hAnsi="Arial" w:cs="Arial"/>
          <w:lang w:val="es-ES"/>
        </w:rPr>
        <w:t>l</w:t>
      </w:r>
      <w:r w:rsidR="00050298" w:rsidRPr="33F8DE2A">
        <w:rPr>
          <w:rFonts w:ascii="Arial" w:eastAsia="Arial" w:hAnsi="Arial" w:cs="Arial"/>
          <w:lang w:val="es-ES"/>
        </w:rPr>
        <w:t xml:space="preserve"> Comité de los Derechos del Niño dedicará su Observación General</w:t>
      </w:r>
      <w:r w:rsidR="00E05C44">
        <w:rPr>
          <w:rFonts w:ascii="Arial" w:eastAsia="Arial" w:hAnsi="Arial" w:cs="Arial"/>
          <w:lang w:val="es-ES"/>
        </w:rPr>
        <w:t xml:space="preserve"> número</w:t>
      </w:r>
      <w:r w:rsidR="00050298" w:rsidRPr="33F8DE2A">
        <w:rPr>
          <w:rFonts w:ascii="Arial" w:eastAsia="Arial" w:hAnsi="Arial" w:cs="Arial"/>
          <w:lang w:val="es-ES"/>
        </w:rPr>
        <w:t xml:space="preserve"> 27 al derecho de niños, niñas y adolescentes al acceso a la justicia y a recursos efectivos. En su nota conceptual, el Comité adelanta que se debe permitir a los niños acceder a la información pertinente y a recursos efectivos para reclamar sus derechos. </w:t>
      </w:r>
      <w:r w:rsidR="5ACCE43B" w:rsidRPr="33F8DE2A">
        <w:rPr>
          <w:rFonts w:ascii="Arial" w:eastAsia="Arial" w:hAnsi="Arial" w:cs="Arial"/>
          <w:lang w:val="es-ES"/>
        </w:rPr>
        <w:t>(</w:t>
      </w:r>
      <w:r w:rsidR="00611066" w:rsidRPr="33F8DE2A">
        <w:rPr>
          <w:rFonts w:ascii="Arial" w:eastAsia="Arial" w:hAnsi="Arial" w:cs="Arial"/>
          <w:lang w:val="es-ES"/>
        </w:rPr>
        <w:t xml:space="preserve">Consulta el proyecto </w:t>
      </w:r>
      <w:r w:rsidR="295A1D98" w:rsidRPr="33F8DE2A">
        <w:rPr>
          <w:rFonts w:ascii="Arial" w:eastAsia="Arial" w:hAnsi="Arial" w:cs="Arial"/>
          <w:lang w:val="es-ES"/>
        </w:rPr>
        <w:t xml:space="preserve">en el siguiente enlace: </w:t>
      </w:r>
      <w:hyperlink r:id="rId10">
        <w:r w:rsidR="00611066" w:rsidRPr="33F8DE2A">
          <w:rPr>
            <w:rStyle w:val="Hipervnculo"/>
            <w:rFonts w:ascii="Arial" w:eastAsia="Arial" w:hAnsi="Arial" w:cs="Arial"/>
            <w:lang w:val="es-ES"/>
          </w:rPr>
          <w:t>https://www.ohchr.org/en/documents/general-comments-and-recommendations/draft-general-comment-no-27-childrens-rights-access</w:t>
        </w:r>
      </w:hyperlink>
      <w:r w:rsidR="08382A90" w:rsidRPr="0E0DD9D5">
        <w:rPr>
          <w:rFonts w:ascii="Arial" w:eastAsia="Arial" w:hAnsi="Arial" w:cs="Arial"/>
          <w:lang w:val="es-ES"/>
        </w:rPr>
        <w:t>).</w:t>
      </w:r>
      <w:r w:rsidR="08382A90" w:rsidRPr="33F8DE2A">
        <w:rPr>
          <w:rFonts w:ascii="Arial" w:eastAsia="Arial" w:hAnsi="Arial" w:cs="Arial"/>
          <w:lang w:val="es-ES"/>
        </w:rPr>
        <w:t xml:space="preserve"> </w:t>
      </w:r>
    </w:p>
    <w:p w14:paraId="5931F2B9" w14:textId="7B83FFB8" w:rsidR="570D9321" w:rsidRDefault="570D9321" w:rsidP="6E83B9AD">
      <w:pPr>
        <w:spacing w:line="240" w:lineRule="auto"/>
        <w:rPr>
          <w:rFonts w:ascii="Arial" w:eastAsia="Arial" w:hAnsi="Arial" w:cs="Arial"/>
          <w:lang w:val="es-ES"/>
        </w:rPr>
      </w:pPr>
    </w:p>
    <w:p w14:paraId="5F621F5A" w14:textId="56F552F7" w:rsidR="00050298" w:rsidRPr="000D3EE2" w:rsidRDefault="00050298" w:rsidP="6E83B9AD">
      <w:pPr>
        <w:pStyle w:val="Ttulo1"/>
        <w:spacing w:line="240" w:lineRule="auto"/>
        <w:rPr>
          <w:rFonts w:ascii="Arial" w:eastAsia="Arial" w:hAnsi="Arial" w:cs="Arial"/>
          <w:b/>
          <w:lang w:val="es-ES"/>
        </w:rPr>
      </w:pPr>
      <w:r w:rsidRPr="05A0A611">
        <w:rPr>
          <w:rFonts w:ascii="Arial" w:eastAsia="Arial" w:hAnsi="Arial" w:cs="Arial"/>
          <w:lang w:val="es-ES"/>
        </w:rPr>
        <w:t>Fecha relevante</w:t>
      </w:r>
    </w:p>
    <w:p w14:paraId="41669AA5" w14:textId="17D697A0" w:rsidR="00471EBE" w:rsidRPr="005F0AF0" w:rsidRDefault="006F7751" w:rsidP="6E83B9AD">
      <w:pPr>
        <w:spacing w:line="240" w:lineRule="auto"/>
        <w:rPr>
          <w:rFonts w:ascii="Arial" w:eastAsia="Arial" w:hAnsi="Arial" w:cs="Arial"/>
          <w:lang w:val="es-ES"/>
        </w:rPr>
      </w:pPr>
      <w:r w:rsidRPr="33F8DE2A">
        <w:rPr>
          <w:rFonts w:ascii="Arial" w:eastAsia="Arial" w:hAnsi="Arial" w:cs="Arial"/>
          <w:lang w:val="es-ES"/>
        </w:rPr>
        <w:t xml:space="preserve">En este apartado se destaca que el </w:t>
      </w:r>
      <w:r w:rsidR="00050298" w:rsidRPr="33F8DE2A">
        <w:rPr>
          <w:rFonts w:ascii="Arial" w:eastAsia="Arial" w:hAnsi="Arial" w:cs="Arial"/>
          <w:lang w:val="es-ES"/>
        </w:rPr>
        <w:t>11 de octubre</w:t>
      </w:r>
      <w:r w:rsidRPr="33F8DE2A">
        <w:rPr>
          <w:rFonts w:ascii="Arial" w:eastAsia="Arial" w:hAnsi="Arial" w:cs="Arial"/>
          <w:lang w:val="es-ES"/>
        </w:rPr>
        <w:t xml:space="preserve"> se conmemora el</w:t>
      </w:r>
      <w:r w:rsidR="00050298" w:rsidRPr="33F8DE2A" w:rsidDel="006F7751">
        <w:rPr>
          <w:rFonts w:ascii="Arial" w:eastAsia="Arial" w:hAnsi="Arial" w:cs="Arial"/>
          <w:lang w:val="es-ES"/>
        </w:rPr>
        <w:t xml:space="preserve"> </w:t>
      </w:r>
      <w:r w:rsidR="00050298" w:rsidRPr="33F8DE2A">
        <w:rPr>
          <w:rFonts w:ascii="Arial" w:eastAsia="Arial" w:hAnsi="Arial" w:cs="Arial"/>
          <w:lang w:val="es-ES"/>
        </w:rPr>
        <w:t>día internacional de la niña</w:t>
      </w:r>
      <w:r w:rsidR="00611066" w:rsidRPr="33F8DE2A">
        <w:rPr>
          <w:rFonts w:ascii="Arial" w:eastAsia="Arial" w:hAnsi="Arial" w:cs="Arial"/>
          <w:lang w:val="es-ES"/>
        </w:rPr>
        <w:t xml:space="preserve">. </w:t>
      </w:r>
      <w:r w:rsidR="6D53E078" w:rsidRPr="33F8DE2A">
        <w:rPr>
          <w:rFonts w:ascii="Arial" w:eastAsia="Arial" w:hAnsi="Arial" w:cs="Arial"/>
          <w:lang w:val="es-ES"/>
        </w:rPr>
        <w:t>(</w:t>
      </w:r>
      <w:r w:rsidR="00611066" w:rsidRPr="33F8DE2A">
        <w:rPr>
          <w:rFonts w:ascii="Arial" w:eastAsia="Arial" w:hAnsi="Arial" w:cs="Arial"/>
          <w:lang w:val="es-ES"/>
        </w:rPr>
        <w:t xml:space="preserve">Consulta la página </w:t>
      </w:r>
      <w:r w:rsidR="52123227" w:rsidRPr="33F8DE2A">
        <w:rPr>
          <w:rFonts w:ascii="Arial" w:eastAsia="Arial" w:hAnsi="Arial" w:cs="Arial"/>
          <w:lang w:val="es-ES"/>
        </w:rPr>
        <w:t xml:space="preserve">de las Naciones Unidas </w:t>
      </w:r>
      <w:r w:rsidR="1331EFA1" w:rsidRPr="33F8DE2A">
        <w:rPr>
          <w:rFonts w:ascii="Arial" w:eastAsia="Arial" w:hAnsi="Arial" w:cs="Arial"/>
          <w:lang w:val="es-ES"/>
        </w:rPr>
        <w:t>en el siguiente enlace</w:t>
      </w:r>
      <w:r w:rsidR="00611066" w:rsidRPr="33F8DE2A">
        <w:rPr>
          <w:rFonts w:ascii="Arial" w:eastAsia="Arial" w:hAnsi="Arial" w:cs="Arial"/>
          <w:lang w:val="es-ES"/>
        </w:rPr>
        <w:t xml:space="preserve">: </w:t>
      </w:r>
      <w:hyperlink r:id="rId11">
        <w:r w:rsidR="00611066" w:rsidRPr="33F8DE2A">
          <w:rPr>
            <w:rStyle w:val="Hipervnculo"/>
            <w:rFonts w:ascii="Arial" w:eastAsia="Arial" w:hAnsi="Arial" w:cs="Arial"/>
            <w:lang w:val="es-ES"/>
          </w:rPr>
          <w:t>https://www.un.org/es/observances/girl-child-day</w:t>
        </w:r>
      </w:hyperlink>
      <w:r w:rsidR="493A8703" w:rsidRPr="33F8DE2A">
        <w:rPr>
          <w:rFonts w:ascii="Arial" w:eastAsia="Arial" w:hAnsi="Arial" w:cs="Arial"/>
          <w:lang w:val="es-ES"/>
        </w:rPr>
        <w:t xml:space="preserve">). </w:t>
      </w:r>
    </w:p>
    <w:p w14:paraId="266E6CFE" w14:textId="456CCDBD" w:rsidR="570D9321" w:rsidRDefault="570D9321" w:rsidP="6E83B9AD">
      <w:pPr>
        <w:spacing w:line="240" w:lineRule="auto"/>
        <w:rPr>
          <w:rFonts w:ascii="Arial" w:eastAsia="Arial" w:hAnsi="Arial" w:cs="Arial"/>
          <w:lang w:val="es-ES"/>
        </w:rPr>
      </w:pPr>
    </w:p>
    <w:p w14:paraId="79EDEAD5" w14:textId="25770059" w:rsidR="00050298" w:rsidRPr="00B30EDE" w:rsidRDefault="00050298" w:rsidP="6E83B9AD">
      <w:pPr>
        <w:pStyle w:val="Ttulo1"/>
        <w:spacing w:line="240" w:lineRule="auto"/>
        <w:rPr>
          <w:rFonts w:ascii="Arial" w:eastAsia="Arial" w:hAnsi="Arial" w:cs="Arial"/>
          <w:b/>
          <w:lang w:val="es-ES"/>
        </w:rPr>
      </w:pPr>
      <w:r w:rsidRPr="05A0A611">
        <w:rPr>
          <w:rFonts w:ascii="Arial" w:eastAsia="Arial" w:hAnsi="Arial" w:cs="Arial"/>
          <w:lang w:val="es-ES"/>
        </w:rPr>
        <w:lastRenderedPageBreak/>
        <w:t xml:space="preserve">Precedentes de la Suprema Corte de Justicia de la Nación </w:t>
      </w:r>
    </w:p>
    <w:p w14:paraId="56753C50" w14:textId="681DC058" w:rsidR="36B438F0" w:rsidRDefault="36B438F0" w:rsidP="6E83B9AD">
      <w:pPr>
        <w:spacing w:line="240" w:lineRule="auto"/>
        <w:rPr>
          <w:rFonts w:ascii="Arial" w:eastAsia="Arial" w:hAnsi="Arial" w:cs="Arial"/>
          <w:lang w:val="es-ES"/>
        </w:rPr>
      </w:pPr>
      <w:r w:rsidRPr="33F8DE2A">
        <w:rPr>
          <w:rFonts w:ascii="Arial" w:eastAsia="Arial" w:hAnsi="Arial" w:cs="Arial"/>
          <w:lang w:val="es-ES"/>
        </w:rPr>
        <w:t xml:space="preserve">En el siguiente apartado se </w:t>
      </w:r>
      <w:r w:rsidR="48B8F8F1" w:rsidRPr="33F8DE2A">
        <w:rPr>
          <w:rFonts w:ascii="Arial" w:eastAsia="Arial" w:hAnsi="Arial" w:cs="Arial"/>
          <w:lang w:val="es-ES"/>
        </w:rPr>
        <w:t>resaltan</w:t>
      </w:r>
      <w:r w:rsidRPr="33F8DE2A">
        <w:rPr>
          <w:rFonts w:ascii="Arial" w:eastAsia="Arial" w:hAnsi="Arial" w:cs="Arial"/>
          <w:lang w:val="es-ES"/>
        </w:rPr>
        <w:t xml:space="preserve"> l</w:t>
      </w:r>
      <w:r w:rsidR="66D7ABBC" w:rsidRPr="33F8DE2A">
        <w:rPr>
          <w:rFonts w:ascii="Arial" w:eastAsia="Arial" w:hAnsi="Arial" w:cs="Arial"/>
          <w:lang w:val="es-ES"/>
        </w:rPr>
        <w:t xml:space="preserve">os fallos </w:t>
      </w:r>
      <w:r w:rsidRPr="33F8DE2A">
        <w:rPr>
          <w:rFonts w:ascii="Arial" w:eastAsia="Arial" w:hAnsi="Arial" w:cs="Arial"/>
          <w:lang w:val="es-ES"/>
        </w:rPr>
        <w:t xml:space="preserve">relevantes </w:t>
      </w:r>
      <w:r w:rsidR="71029937" w:rsidRPr="33F8DE2A">
        <w:rPr>
          <w:rFonts w:ascii="Arial" w:eastAsia="Arial" w:hAnsi="Arial" w:cs="Arial"/>
          <w:lang w:val="es-ES"/>
        </w:rPr>
        <w:t xml:space="preserve">en materia de </w:t>
      </w:r>
      <w:r w:rsidR="2BB5F2AC" w:rsidRPr="33F8DE2A">
        <w:rPr>
          <w:rFonts w:ascii="Arial" w:eastAsia="Arial" w:hAnsi="Arial" w:cs="Arial"/>
          <w:lang w:val="es-ES"/>
        </w:rPr>
        <w:t>niños</w:t>
      </w:r>
      <w:r w:rsidR="5BCBEA40" w:rsidRPr="6ACCE345">
        <w:rPr>
          <w:rFonts w:ascii="Arial" w:eastAsia="Arial" w:hAnsi="Arial" w:cs="Arial"/>
          <w:lang w:val="es-ES"/>
        </w:rPr>
        <w:t>,</w:t>
      </w:r>
      <w:r w:rsidR="2BB5F2AC" w:rsidRPr="33F8DE2A">
        <w:rPr>
          <w:rFonts w:ascii="Arial" w:eastAsia="Arial" w:hAnsi="Arial" w:cs="Arial"/>
          <w:lang w:val="es-ES"/>
        </w:rPr>
        <w:t xml:space="preserve"> niñas y adolescentes </w:t>
      </w:r>
      <w:r w:rsidR="431D75E5" w:rsidRPr="33F8DE2A">
        <w:rPr>
          <w:rFonts w:ascii="Arial" w:eastAsia="Arial" w:hAnsi="Arial" w:cs="Arial"/>
          <w:lang w:val="es-ES"/>
        </w:rPr>
        <w:t xml:space="preserve">y su participación </w:t>
      </w:r>
      <w:r w:rsidR="2BB5F2AC" w:rsidRPr="33F8DE2A">
        <w:rPr>
          <w:rFonts w:ascii="Arial" w:eastAsia="Arial" w:hAnsi="Arial" w:cs="Arial"/>
          <w:lang w:val="es-ES"/>
        </w:rPr>
        <w:t xml:space="preserve">en la toma de decisiones jurisdiccionales. </w:t>
      </w:r>
    </w:p>
    <w:p w14:paraId="71D7BBFD" w14:textId="3BDE9D32" w:rsidR="5AF5FCF4" w:rsidRDefault="6532F6BA" w:rsidP="6E83B9AD">
      <w:pPr>
        <w:pStyle w:val="Prrafodelista"/>
        <w:numPr>
          <w:ilvl w:val="0"/>
          <w:numId w:val="6"/>
        </w:numPr>
        <w:spacing w:line="240" w:lineRule="auto"/>
        <w:rPr>
          <w:rFonts w:ascii="Arial" w:eastAsia="Arial" w:hAnsi="Arial" w:cs="Arial"/>
          <w:lang w:val="es-ES"/>
        </w:rPr>
      </w:pPr>
      <w:r w:rsidRPr="15AD2699">
        <w:rPr>
          <w:rFonts w:ascii="Arial" w:eastAsia="Arial" w:hAnsi="Arial" w:cs="Arial"/>
          <w:lang w:val="es-ES"/>
        </w:rPr>
        <w:t xml:space="preserve">En el Amparo </w:t>
      </w:r>
      <w:r w:rsidR="30CA198C" w:rsidRPr="15AD2699">
        <w:rPr>
          <w:rFonts w:ascii="Arial" w:eastAsia="Arial" w:hAnsi="Arial" w:cs="Arial"/>
          <w:lang w:val="es-ES"/>
        </w:rPr>
        <w:t xml:space="preserve">en </w:t>
      </w:r>
      <w:r w:rsidR="30FA74DC" w:rsidRPr="33F8DE2A">
        <w:rPr>
          <w:rFonts w:ascii="Arial" w:eastAsia="Arial" w:hAnsi="Arial" w:cs="Arial"/>
          <w:lang w:val="es-ES"/>
        </w:rPr>
        <w:t xml:space="preserve">Revisión 644/2016 la Suprema Corte </w:t>
      </w:r>
      <w:r w:rsidR="0C26BA90" w:rsidRPr="15AD2699">
        <w:rPr>
          <w:rFonts w:ascii="Arial" w:eastAsia="Arial" w:hAnsi="Arial" w:cs="Arial"/>
          <w:lang w:val="es-ES"/>
        </w:rPr>
        <w:t xml:space="preserve">determinó que en </w:t>
      </w:r>
      <w:r w:rsidR="30FA74DC" w:rsidRPr="33F8DE2A">
        <w:rPr>
          <w:rFonts w:ascii="Arial" w:eastAsia="Arial" w:hAnsi="Arial" w:cs="Arial"/>
          <w:lang w:val="es-ES"/>
        </w:rPr>
        <w:t xml:space="preserve">los casos en </w:t>
      </w:r>
      <w:r w:rsidR="58378557" w:rsidRPr="15AD2699">
        <w:rPr>
          <w:rFonts w:ascii="Arial" w:eastAsia="Arial" w:hAnsi="Arial" w:cs="Arial"/>
          <w:lang w:val="es-ES"/>
        </w:rPr>
        <w:t xml:space="preserve">donde </w:t>
      </w:r>
      <w:r w:rsidR="30FA74DC" w:rsidRPr="33F8DE2A">
        <w:rPr>
          <w:rFonts w:ascii="Arial" w:eastAsia="Arial" w:hAnsi="Arial" w:cs="Arial"/>
          <w:lang w:val="es-ES"/>
        </w:rPr>
        <w:t xml:space="preserve">una </w:t>
      </w:r>
      <w:r w:rsidR="3ABB9E4B" w:rsidRPr="15AD2699">
        <w:rPr>
          <w:rFonts w:ascii="Arial" w:eastAsia="Arial" w:hAnsi="Arial" w:cs="Arial"/>
          <w:lang w:val="es-ES"/>
        </w:rPr>
        <w:t xml:space="preserve">persona menor de edad </w:t>
      </w:r>
      <w:r w:rsidR="30FA74DC" w:rsidRPr="15AD2699">
        <w:rPr>
          <w:rFonts w:ascii="Arial" w:eastAsia="Arial" w:hAnsi="Arial" w:cs="Arial"/>
          <w:lang w:val="es-ES"/>
        </w:rPr>
        <w:t>ha</w:t>
      </w:r>
      <w:r w:rsidR="0475DB54" w:rsidRPr="15AD2699">
        <w:rPr>
          <w:rFonts w:ascii="Arial" w:eastAsia="Arial" w:hAnsi="Arial" w:cs="Arial"/>
          <w:lang w:val="es-ES"/>
        </w:rPr>
        <w:t>ya</w:t>
      </w:r>
      <w:r w:rsidR="30FA74DC" w:rsidRPr="33F8DE2A">
        <w:rPr>
          <w:rFonts w:ascii="Arial" w:eastAsia="Arial" w:hAnsi="Arial" w:cs="Arial"/>
          <w:lang w:val="es-ES"/>
        </w:rPr>
        <w:t xml:space="preserve"> habitado en un centro de reclusión con su madre y </w:t>
      </w:r>
      <w:r w:rsidR="63B82812" w:rsidRPr="15AD2699">
        <w:rPr>
          <w:rFonts w:ascii="Arial" w:eastAsia="Arial" w:hAnsi="Arial" w:cs="Arial"/>
          <w:lang w:val="es-ES"/>
        </w:rPr>
        <w:t>alcance</w:t>
      </w:r>
      <w:r w:rsidR="30FA74DC" w:rsidRPr="33F8DE2A">
        <w:rPr>
          <w:rFonts w:ascii="Arial" w:eastAsia="Arial" w:hAnsi="Arial" w:cs="Arial"/>
          <w:lang w:val="es-ES"/>
        </w:rPr>
        <w:t xml:space="preserve"> la edad legal, las autoridades deben articular una separación sensible, gradual y progresiva.</w:t>
      </w:r>
      <w:r w:rsidR="045E57F2" w:rsidRPr="33F8DE2A">
        <w:rPr>
          <w:rFonts w:ascii="Arial" w:eastAsia="Arial" w:hAnsi="Arial" w:cs="Arial"/>
          <w:lang w:val="es-ES"/>
        </w:rPr>
        <w:t xml:space="preserve"> </w:t>
      </w:r>
      <w:r w:rsidR="128B1E2D" w:rsidRPr="33F8DE2A">
        <w:rPr>
          <w:rFonts w:ascii="Arial" w:eastAsia="Arial" w:hAnsi="Arial" w:cs="Arial"/>
          <w:lang w:val="es-ES"/>
        </w:rPr>
        <w:t>(</w:t>
      </w:r>
      <w:r w:rsidR="00C6681B" w:rsidRPr="05A0A611">
        <w:rPr>
          <w:rFonts w:ascii="Arial" w:eastAsia="Arial" w:hAnsi="Arial" w:cs="Arial"/>
          <w:lang w:val="es-ES"/>
        </w:rPr>
        <w:t>Para consultar</w:t>
      </w:r>
      <w:r w:rsidR="00C6681B" w:rsidRPr="33F8DE2A">
        <w:rPr>
          <w:rFonts w:ascii="Arial" w:eastAsia="Arial" w:hAnsi="Arial" w:cs="Arial"/>
          <w:lang w:val="es-ES"/>
        </w:rPr>
        <w:t xml:space="preserve"> el </w:t>
      </w:r>
      <w:r w:rsidR="00C6681B" w:rsidRPr="05A0A611">
        <w:rPr>
          <w:rFonts w:ascii="Arial" w:eastAsia="Arial" w:hAnsi="Arial" w:cs="Arial"/>
          <w:lang w:val="es-ES"/>
        </w:rPr>
        <w:t>buscador de sentencias y datos de expedientes</w:t>
      </w:r>
      <w:r w:rsidR="00C6681B" w:rsidRPr="33F8DE2A">
        <w:rPr>
          <w:rFonts w:ascii="Arial" w:eastAsia="Arial" w:hAnsi="Arial" w:cs="Arial"/>
          <w:lang w:val="es-ES"/>
        </w:rPr>
        <w:t xml:space="preserve"> de la </w:t>
      </w:r>
      <w:r w:rsidR="00C6681B" w:rsidRPr="05A0A611">
        <w:rPr>
          <w:rFonts w:ascii="Arial" w:eastAsia="Arial" w:hAnsi="Arial" w:cs="Arial"/>
          <w:lang w:val="es-ES"/>
        </w:rPr>
        <w:t>SCJN en el que se encuentra este documento, enlace</w:t>
      </w:r>
      <w:r w:rsidR="00C6681B" w:rsidRPr="33F8DE2A">
        <w:rPr>
          <w:rFonts w:ascii="Arial" w:eastAsia="Arial" w:hAnsi="Arial" w:cs="Arial"/>
          <w:lang w:val="es-ES"/>
        </w:rPr>
        <w:t xml:space="preserve"> aquí </w:t>
      </w:r>
      <w:hyperlink r:id="rId12">
        <w:r w:rsidR="128B1E2D" w:rsidRPr="33F8DE2A">
          <w:rPr>
            <w:rStyle w:val="Hipervnculo"/>
            <w:rFonts w:ascii="Arial" w:eastAsia="Arial" w:hAnsi="Arial" w:cs="Arial"/>
            <w:lang w:val="es-ES"/>
          </w:rPr>
          <w:t>https://www2.scjn.gob.mx/ConsultasTematica/Resultados/-0-0-2-644-2016</w:t>
        </w:r>
      </w:hyperlink>
      <w:r w:rsidR="128B1E2D" w:rsidRPr="33F8DE2A">
        <w:rPr>
          <w:rFonts w:ascii="Arial" w:eastAsia="Arial" w:hAnsi="Arial" w:cs="Arial"/>
          <w:lang w:val="es-ES"/>
        </w:rPr>
        <w:t>).</w:t>
      </w:r>
    </w:p>
    <w:p w14:paraId="016A8DE0" w14:textId="0EA3FCF7" w:rsidR="00050298" w:rsidRDefault="00050298" w:rsidP="6E83B9AD">
      <w:pPr>
        <w:pStyle w:val="Prrafodelista"/>
        <w:numPr>
          <w:ilvl w:val="0"/>
          <w:numId w:val="6"/>
        </w:numPr>
        <w:spacing w:line="240" w:lineRule="auto"/>
        <w:rPr>
          <w:rFonts w:ascii="Arial" w:eastAsia="Arial" w:hAnsi="Arial" w:cs="Arial"/>
          <w:lang w:val="es-ES"/>
        </w:rPr>
      </w:pPr>
      <w:r w:rsidRPr="33F8DE2A">
        <w:rPr>
          <w:rFonts w:ascii="Arial" w:eastAsia="Arial" w:hAnsi="Arial" w:cs="Arial"/>
          <w:lang w:val="es-ES"/>
        </w:rPr>
        <w:t>A</w:t>
      </w:r>
      <w:r w:rsidR="2D0DC339" w:rsidRPr="33F8DE2A">
        <w:rPr>
          <w:rFonts w:ascii="Arial" w:eastAsia="Arial" w:hAnsi="Arial" w:cs="Arial"/>
          <w:lang w:val="es-ES"/>
        </w:rPr>
        <w:t xml:space="preserve"> través del Amparo en Revisión 805/2016 la Corte se pronunció sobre la manera de calcular la edad para efectos de aplicar el Sistema Integral de Justicia Penal para Adolescentes. </w:t>
      </w:r>
      <w:r w:rsidR="2D0DC339" w:rsidRPr="38E348E8">
        <w:rPr>
          <w:rFonts w:ascii="Arial" w:eastAsia="Arial" w:hAnsi="Arial" w:cs="Arial"/>
          <w:lang w:val="es-ES"/>
        </w:rPr>
        <w:t>(</w:t>
      </w:r>
      <w:r w:rsidR="5E0A0643" w:rsidRPr="05A0A611">
        <w:rPr>
          <w:rFonts w:ascii="Arial" w:eastAsia="Arial" w:hAnsi="Arial" w:cs="Arial"/>
          <w:lang w:val="es-ES"/>
        </w:rPr>
        <w:t>Para consultar</w:t>
      </w:r>
      <w:r w:rsidR="2D0DC339" w:rsidRPr="05A0A611">
        <w:rPr>
          <w:rFonts w:ascii="Arial" w:eastAsia="Arial" w:hAnsi="Arial" w:cs="Arial"/>
          <w:lang w:val="es-ES"/>
        </w:rPr>
        <w:t xml:space="preserve"> el </w:t>
      </w:r>
      <w:r w:rsidR="5E0A0643" w:rsidRPr="05A0A611">
        <w:rPr>
          <w:rFonts w:ascii="Arial" w:eastAsia="Arial" w:hAnsi="Arial" w:cs="Arial"/>
          <w:lang w:val="es-ES"/>
        </w:rPr>
        <w:t>buscador de sentencias y datos de expedientes</w:t>
      </w:r>
      <w:r w:rsidR="2D0DC339" w:rsidRPr="05A0A611">
        <w:rPr>
          <w:rFonts w:ascii="Arial" w:eastAsia="Arial" w:hAnsi="Arial" w:cs="Arial"/>
          <w:lang w:val="es-ES"/>
        </w:rPr>
        <w:t xml:space="preserve"> de la </w:t>
      </w:r>
      <w:r w:rsidR="5E0A0643" w:rsidRPr="05A0A611">
        <w:rPr>
          <w:rFonts w:ascii="Arial" w:eastAsia="Arial" w:hAnsi="Arial" w:cs="Arial"/>
          <w:lang w:val="es-ES"/>
        </w:rPr>
        <w:t>SCJN en el que se encuentra este documento, enlace</w:t>
      </w:r>
      <w:r w:rsidR="2D0DC339" w:rsidRPr="05A0A611">
        <w:rPr>
          <w:rFonts w:ascii="Arial" w:eastAsia="Arial" w:hAnsi="Arial" w:cs="Arial"/>
          <w:lang w:val="es-ES"/>
        </w:rPr>
        <w:t xml:space="preserve"> aquí:</w:t>
      </w:r>
      <w:r w:rsidR="2D0DC339" w:rsidRPr="33F8DE2A">
        <w:rPr>
          <w:rFonts w:ascii="Arial" w:eastAsia="Arial" w:hAnsi="Arial" w:cs="Arial"/>
          <w:lang w:val="es-ES"/>
        </w:rPr>
        <w:t xml:space="preserve"> </w:t>
      </w:r>
      <w:hyperlink r:id="rId13">
        <w:r w:rsidR="2D0DC339" w:rsidRPr="33F8DE2A">
          <w:rPr>
            <w:rStyle w:val="Hipervnculo"/>
            <w:rFonts w:ascii="Arial" w:eastAsia="Arial" w:hAnsi="Arial" w:cs="Arial"/>
            <w:lang w:val="es-ES"/>
          </w:rPr>
          <w:t>https://www2.scjn.gob.mx/ConsultasTematica/Detalle/201880</w:t>
        </w:r>
      </w:hyperlink>
      <w:r w:rsidR="2D0DC339" w:rsidRPr="33F8DE2A">
        <w:rPr>
          <w:rFonts w:ascii="Arial" w:eastAsia="Arial" w:hAnsi="Arial" w:cs="Arial"/>
          <w:lang w:val="es-ES"/>
        </w:rPr>
        <w:t>).</w:t>
      </w:r>
    </w:p>
    <w:p w14:paraId="6108738B" w14:textId="137A1C36" w:rsidR="36C2602D" w:rsidRDefault="36C2602D" w:rsidP="15AD2699">
      <w:pPr>
        <w:pStyle w:val="Prrafodelista"/>
        <w:numPr>
          <w:ilvl w:val="0"/>
          <w:numId w:val="6"/>
        </w:numPr>
        <w:spacing w:line="240" w:lineRule="auto"/>
        <w:rPr>
          <w:rFonts w:ascii="Arial" w:eastAsia="Arial" w:hAnsi="Arial" w:cs="Arial"/>
          <w:lang w:val="es-ES"/>
        </w:rPr>
      </w:pPr>
      <w:r w:rsidRPr="15AD2699">
        <w:rPr>
          <w:rFonts w:ascii="Arial" w:eastAsia="Arial" w:hAnsi="Arial" w:cs="Arial"/>
          <w:lang w:val="es-ES"/>
        </w:rPr>
        <w:t>Por medio</w:t>
      </w:r>
      <w:r w:rsidR="383AB11A" w:rsidRPr="15AD2699">
        <w:rPr>
          <w:rFonts w:ascii="Arial" w:eastAsia="Arial" w:hAnsi="Arial" w:cs="Arial"/>
          <w:lang w:val="es-ES"/>
        </w:rPr>
        <w:t xml:space="preserve"> de los </w:t>
      </w:r>
      <w:r w:rsidR="00050298" w:rsidRPr="15AD2699">
        <w:rPr>
          <w:rFonts w:ascii="Arial" w:eastAsia="Arial" w:hAnsi="Arial" w:cs="Arial"/>
          <w:lang w:val="es-ES"/>
        </w:rPr>
        <w:t>Amparo</w:t>
      </w:r>
      <w:r w:rsidR="24813962" w:rsidRPr="15AD2699">
        <w:rPr>
          <w:rFonts w:ascii="Arial" w:eastAsia="Arial" w:hAnsi="Arial" w:cs="Arial"/>
          <w:lang w:val="es-ES"/>
        </w:rPr>
        <w:t>s</w:t>
      </w:r>
      <w:r w:rsidR="00050298" w:rsidRPr="15AD2699">
        <w:rPr>
          <w:rFonts w:ascii="Arial" w:eastAsia="Arial" w:hAnsi="Arial" w:cs="Arial"/>
          <w:lang w:val="es-ES"/>
        </w:rPr>
        <w:t xml:space="preserve"> Directo</w:t>
      </w:r>
      <w:r w:rsidR="25E1B01C" w:rsidRPr="15AD2699">
        <w:rPr>
          <w:rFonts w:ascii="Arial" w:eastAsia="Arial" w:hAnsi="Arial" w:cs="Arial"/>
          <w:lang w:val="es-ES"/>
        </w:rPr>
        <w:t>s</w:t>
      </w:r>
      <w:r w:rsidR="00050298" w:rsidRPr="15AD2699">
        <w:rPr>
          <w:rFonts w:ascii="Arial" w:eastAsia="Arial" w:hAnsi="Arial" w:cs="Arial"/>
          <w:lang w:val="es-ES"/>
        </w:rPr>
        <w:t xml:space="preserve"> en Revisión 3797/2014</w:t>
      </w:r>
      <w:r w:rsidR="003C03D4" w:rsidRPr="05A0A611">
        <w:rPr>
          <w:rFonts w:ascii="Arial" w:eastAsia="Arial" w:hAnsi="Arial" w:cs="Arial"/>
          <w:lang w:val="es-ES"/>
        </w:rPr>
        <w:t xml:space="preserve"> (</w:t>
      </w:r>
      <w:r w:rsidR="0429CE04" w:rsidRPr="05A0A611">
        <w:rPr>
          <w:rFonts w:ascii="Arial" w:eastAsia="Arial" w:hAnsi="Arial" w:cs="Arial"/>
          <w:lang w:val="es-ES"/>
        </w:rPr>
        <w:t xml:space="preserve">para consultar el buscador de sentencias y datos de expedientes de la SCJN en el que se encuentra este documento, </w:t>
      </w:r>
      <w:r w:rsidR="7FBEB761" w:rsidRPr="05A0A611">
        <w:rPr>
          <w:rFonts w:ascii="Arial" w:eastAsia="Arial" w:hAnsi="Arial" w:cs="Arial"/>
          <w:lang w:val="es-ES"/>
        </w:rPr>
        <w:t xml:space="preserve">enlace aquí: </w:t>
      </w:r>
      <w:hyperlink r:id="rId14">
        <w:r w:rsidR="00D31654" w:rsidRPr="33F8DE2A">
          <w:rPr>
            <w:rStyle w:val="Hipervnculo"/>
            <w:rFonts w:ascii="Arial" w:eastAsia="Arial" w:hAnsi="Arial" w:cs="Arial"/>
            <w:lang w:val="es-ES"/>
          </w:rPr>
          <w:t>https://www2.scjn.gob.mx/ConsultaTematica/PaginasPub/DetallePub.aspx?AsuntoID=169559</w:t>
        </w:r>
      </w:hyperlink>
      <w:r w:rsidR="7FBEB761" w:rsidRPr="15AD2699">
        <w:rPr>
          <w:rFonts w:ascii="Arial" w:eastAsia="Arial" w:hAnsi="Arial" w:cs="Arial"/>
          <w:lang w:val="es-ES"/>
        </w:rPr>
        <w:t>);</w:t>
      </w:r>
      <w:r w:rsidR="00050298" w:rsidRPr="15AD2699">
        <w:rPr>
          <w:rFonts w:ascii="Arial" w:eastAsia="Arial" w:hAnsi="Arial" w:cs="Arial"/>
          <w:lang w:val="es-ES"/>
        </w:rPr>
        <w:t xml:space="preserve"> 5833/2019</w:t>
      </w:r>
      <w:r w:rsidR="003C03D4" w:rsidRPr="450BE381">
        <w:rPr>
          <w:rFonts w:ascii="Arial" w:eastAsia="Arial" w:hAnsi="Arial" w:cs="Arial"/>
          <w:lang w:val="es-ES"/>
        </w:rPr>
        <w:t xml:space="preserve"> (</w:t>
      </w:r>
      <w:r w:rsidR="4ADBDF34" w:rsidRPr="450BE381">
        <w:rPr>
          <w:rFonts w:ascii="Arial" w:eastAsia="Arial" w:hAnsi="Arial" w:cs="Arial"/>
          <w:lang w:val="es-ES"/>
        </w:rPr>
        <w:t xml:space="preserve">para consultar el buscador de sentencias y datos de expedientes de la SCJN en el que se encuentra este documento, </w:t>
      </w:r>
      <w:r w:rsidR="003C03D4" w:rsidRPr="450BE381">
        <w:rPr>
          <w:rFonts w:ascii="Arial" w:eastAsia="Arial" w:hAnsi="Arial" w:cs="Arial"/>
          <w:lang w:val="es-ES"/>
        </w:rPr>
        <w:t>enlace</w:t>
      </w:r>
      <w:r w:rsidR="46E3107F" w:rsidRPr="450BE381">
        <w:rPr>
          <w:rFonts w:ascii="Arial" w:eastAsia="Arial" w:hAnsi="Arial" w:cs="Arial"/>
          <w:lang w:val="es-ES"/>
        </w:rPr>
        <w:t xml:space="preserve"> aquí:</w:t>
      </w:r>
      <w:r w:rsidR="46E3107F" w:rsidRPr="05A0A611">
        <w:rPr>
          <w:rFonts w:ascii="Arial" w:eastAsia="Arial" w:hAnsi="Arial" w:cs="Arial"/>
          <w:lang w:val="es-ES"/>
        </w:rPr>
        <w:t xml:space="preserve"> </w:t>
      </w:r>
      <w:hyperlink r:id="rId15">
        <w:r w:rsidR="00D31654" w:rsidRPr="33F8DE2A">
          <w:rPr>
            <w:rStyle w:val="Hipervnculo"/>
            <w:rFonts w:ascii="Arial" w:eastAsia="Arial" w:hAnsi="Arial" w:cs="Arial"/>
            <w:lang w:val="es-ES"/>
          </w:rPr>
          <w:t>https://www.scjn.gob.mx/sites/default/files/listas/documento_dos/2021-01/ADR-5833-2019-270121.pdf</w:t>
        </w:r>
      </w:hyperlink>
      <w:r w:rsidR="003C03D4" w:rsidRPr="05A0A611">
        <w:rPr>
          <w:rFonts w:ascii="Arial" w:eastAsia="Arial" w:hAnsi="Arial" w:cs="Arial"/>
          <w:lang w:val="es-ES"/>
        </w:rPr>
        <w:t>)</w:t>
      </w:r>
      <w:r w:rsidR="5A9F876E" w:rsidRPr="05A0A611">
        <w:rPr>
          <w:rFonts w:ascii="Arial" w:eastAsia="Arial" w:hAnsi="Arial" w:cs="Arial"/>
          <w:lang w:val="es-ES"/>
        </w:rPr>
        <w:t>;</w:t>
      </w:r>
      <w:r w:rsidR="00050298" w:rsidRPr="15AD2699">
        <w:rPr>
          <w:rFonts w:ascii="Arial" w:eastAsia="Arial" w:hAnsi="Arial" w:cs="Arial"/>
          <w:lang w:val="es-ES"/>
        </w:rPr>
        <w:t xml:space="preserve"> 8577/2019</w:t>
      </w:r>
      <w:r w:rsidR="003C03D4" w:rsidRPr="15AD2699">
        <w:rPr>
          <w:rFonts w:ascii="Arial" w:eastAsia="Arial" w:hAnsi="Arial" w:cs="Arial"/>
          <w:lang w:val="es-ES"/>
        </w:rPr>
        <w:t xml:space="preserve"> </w:t>
      </w:r>
      <w:r w:rsidR="003C03D4" w:rsidRPr="450BE381">
        <w:rPr>
          <w:rFonts w:ascii="Arial" w:eastAsia="Arial" w:hAnsi="Arial" w:cs="Arial"/>
          <w:lang w:val="es-ES"/>
        </w:rPr>
        <w:t>(</w:t>
      </w:r>
      <w:r w:rsidR="5AC8312E" w:rsidRPr="450BE381">
        <w:rPr>
          <w:rFonts w:ascii="Arial" w:eastAsia="Arial" w:hAnsi="Arial" w:cs="Arial"/>
          <w:lang w:val="es-ES"/>
        </w:rPr>
        <w:t xml:space="preserve">para consultar el buscador de sentencias y datos de expedientes de la SCJN en el que se encuentra este documento, </w:t>
      </w:r>
      <w:r w:rsidR="11F783C8" w:rsidRPr="450BE381">
        <w:rPr>
          <w:rFonts w:ascii="Arial" w:eastAsia="Arial" w:hAnsi="Arial" w:cs="Arial"/>
          <w:lang w:val="es-ES"/>
        </w:rPr>
        <w:t>enlace aquí:</w:t>
      </w:r>
      <w:r w:rsidR="11F783C8" w:rsidRPr="05A0A611">
        <w:rPr>
          <w:rFonts w:ascii="Arial" w:eastAsia="Arial" w:hAnsi="Arial" w:cs="Arial"/>
          <w:lang w:val="es-ES"/>
        </w:rPr>
        <w:t xml:space="preserve"> </w:t>
      </w:r>
      <w:hyperlink r:id="rId16">
        <w:r w:rsidR="00D31654" w:rsidRPr="33F8DE2A">
          <w:rPr>
            <w:rStyle w:val="Hipervnculo"/>
            <w:rFonts w:ascii="Arial" w:eastAsia="Arial" w:hAnsi="Arial" w:cs="Arial"/>
            <w:lang w:val="es-ES"/>
          </w:rPr>
          <w:t>https://www2.scjn.gob.mx/ConsultaTematica/PaginasPub/DetallePub.aspx?AsuntoID=266181</w:t>
        </w:r>
      </w:hyperlink>
      <w:r w:rsidR="003C03D4" w:rsidRPr="05A0A611">
        <w:rPr>
          <w:rFonts w:ascii="Arial" w:eastAsia="Arial" w:hAnsi="Arial" w:cs="Arial"/>
          <w:lang w:val="es-ES"/>
        </w:rPr>
        <w:t>)</w:t>
      </w:r>
      <w:r w:rsidR="00050298" w:rsidRPr="05A0A611">
        <w:rPr>
          <w:rFonts w:ascii="Arial" w:eastAsia="Arial" w:hAnsi="Arial" w:cs="Arial"/>
          <w:lang w:val="es-ES"/>
        </w:rPr>
        <w:t xml:space="preserve"> </w:t>
      </w:r>
      <w:r w:rsidR="00050298" w:rsidRPr="15AD2699">
        <w:rPr>
          <w:rFonts w:ascii="Arial" w:eastAsia="Arial" w:hAnsi="Arial" w:cs="Arial"/>
          <w:lang w:val="es-ES"/>
        </w:rPr>
        <w:t>y 3994/2021</w:t>
      </w:r>
      <w:r w:rsidR="003C03D4" w:rsidRPr="450BE381">
        <w:rPr>
          <w:rFonts w:ascii="Arial" w:eastAsia="Arial" w:hAnsi="Arial" w:cs="Arial"/>
          <w:lang w:val="es-ES"/>
        </w:rPr>
        <w:t>(</w:t>
      </w:r>
      <w:r w:rsidR="487B9450" w:rsidRPr="450BE381">
        <w:rPr>
          <w:rFonts w:ascii="Arial" w:eastAsia="Arial" w:hAnsi="Arial" w:cs="Arial"/>
          <w:lang w:val="es-ES"/>
        </w:rPr>
        <w:t>P</w:t>
      </w:r>
      <w:r w:rsidR="41F05202" w:rsidRPr="450BE381">
        <w:rPr>
          <w:rFonts w:ascii="Arial" w:eastAsia="Arial" w:hAnsi="Arial" w:cs="Arial"/>
          <w:lang w:val="es-ES"/>
        </w:rPr>
        <w:t>ara con</w:t>
      </w:r>
      <w:r w:rsidR="41F05202" w:rsidRPr="05A0A611">
        <w:rPr>
          <w:rFonts w:ascii="Arial" w:eastAsia="Arial" w:hAnsi="Arial" w:cs="Arial"/>
          <w:lang w:val="es-ES"/>
        </w:rPr>
        <w:t xml:space="preserve">sultar el buscador de sentencias y datos de expedientes de la SCJN en el que se encuentra este documento, </w:t>
      </w:r>
      <w:r w:rsidR="003C03D4" w:rsidRPr="05A0A611">
        <w:rPr>
          <w:rFonts w:ascii="Arial" w:eastAsia="Arial" w:hAnsi="Arial" w:cs="Arial"/>
          <w:lang w:val="es-ES"/>
        </w:rPr>
        <w:t>enlace</w:t>
      </w:r>
      <w:r w:rsidR="61ED81EF" w:rsidRPr="05A0A611">
        <w:rPr>
          <w:rFonts w:ascii="Arial" w:eastAsia="Arial" w:hAnsi="Arial" w:cs="Arial"/>
          <w:lang w:val="es-ES"/>
        </w:rPr>
        <w:t xml:space="preserve"> aquí: </w:t>
      </w:r>
      <w:hyperlink r:id="rId17">
        <w:r w:rsidR="00D31654" w:rsidRPr="33F8DE2A">
          <w:rPr>
            <w:rStyle w:val="Hipervnculo"/>
            <w:rFonts w:ascii="Arial" w:eastAsia="Arial" w:hAnsi="Arial" w:cs="Arial"/>
            <w:lang w:val="es-ES"/>
          </w:rPr>
          <w:t>https://www.scjn.gob.mx/sites/default/files/listas/documento_dos/2022-03/ADR-3994-2021-30032022.pdf</w:t>
        </w:r>
      </w:hyperlink>
      <w:r w:rsidR="003C03D4" w:rsidRPr="05A0A611">
        <w:rPr>
          <w:rFonts w:ascii="Arial" w:eastAsia="Arial" w:hAnsi="Arial" w:cs="Arial"/>
          <w:lang w:val="es-ES"/>
        </w:rPr>
        <w:t>)</w:t>
      </w:r>
      <w:r w:rsidR="401B1ADC" w:rsidRPr="05A0A611">
        <w:rPr>
          <w:rFonts w:ascii="Arial" w:eastAsia="Arial" w:hAnsi="Arial" w:cs="Arial"/>
          <w:lang w:val="es-ES"/>
        </w:rPr>
        <w:t xml:space="preserve">; </w:t>
      </w:r>
      <w:r w:rsidR="375E1AEA" w:rsidRPr="15AD2699">
        <w:rPr>
          <w:rFonts w:ascii="Arial" w:eastAsia="Arial" w:hAnsi="Arial" w:cs="Arial"/>
          <w:lang w:val="es-ES"/>
        </w:rPr>
        <w:t>la Corte analizó el d</w:t>
      </w:r>
      <w:r w:rsidR="00050298" w:rsidRPr="15AD2699">
        <w:rPr>
          <w:rFonts w:ascii="Arial" w:eastAsia="Arial" w:hAnsi="Arial" w:cs="Arial"/>
          <w:lang w:val="es-ES"/>
        </w:rPr>
        <w:t>erecho de NNA a participar en procedimientos jurisdiccionales.</w:t>
      </w:r>
    </w:p>
    <w:p w14:paraId="2CE53B70" w14:textId="45C3C99C" w:rsidR="00D31654" w:rsidRPr="00B30EDE" w:rsidRDefault="003F2015" w:rsidP="6E83B9AD">
      <w:pPr>
        <w:pStyle w:val="Prrafodelista"/>
        <w:numPr>
          <w:ilvl w:val="0"/>
          <w:numId w:val="6"/>
        </w:numPr>
        <w:spacing w:line="240" w:lineRule="auto"/>
        <w:rPr>
          <w:rFonts w:ascii="Arial" w:eastAsia="Arial" w:hAnsi="Arial" w:cs="Arial"/>
          <w:lang w:val="es-ES"/>
        </w:rPr>
      </w:pPr>
      <w:r>
        <w:rPr>
          <w:rFonts w:ascii="Arial" w:eastAsia="Arial" w:hAnsi="Arial" w:cs="Arial"/>
          <w:lang w:val="es-ES"/>
        </w:rPr>
        <w:t xml:space="preserve">En </w:t>
      </w:r>
      <w:r w:rsidRPr="15AD2699">
        <w:rPr>
          <w:rFonts w:ascii="Arial" w:eastAsia="Arial" w:hAnsi="Arial" w:cs="Arial"/>
          <w:lang w:val="es-ES"/>
        </w:rPr>
        <w:t>el</w:t>
      </w:r>
      <w:r w:rsidR="72063A72" w:rsidRPr="33F8DE2A">
        <w:rPr>
          <w:rFonts w:ascii="Arial" w:eastAsia="Arial" w:hAnsi="Arial" w:cs="Arial"/>
          <w:lang w:val="es-ES"/>
        </w:rPr>
        <w:t xml:space="preserve"> </w:t>
      </w:r>
      <w:r w:rsidR="2F10580F" w:rsidRPr="33F8DE2A">
        <w:rPr>
          <w:rFonts w:ascii="Arial" w:eastAsia="Arial" w:hAnsi="Arial" w:cs="Arial"/>
          <w:lang w:val="es-ES"/>
        </w:rPr>
        <w:t>A</w:t>
      </w:r>
      <w:r w:rsidR="00050298" w:rsidRPr="33F8DE2A">
        <w:rPr>
          <w:rFonts w:ascii="Arial" w:eastAsia="Arial" w:hAnsi="Arial" w:cs="Arial"/>
          <w:lang w:val="es-ES"/>
        </w:rPr>
        <w:t>mparo en Revisión 7/2020</w:t>
      </w:r>
      <w:r w:rsidR="24D8E50A" w:rsidRPr="33F8DE2A">
        <w:rPr>
          <w:rFonts w:ascii="Arial" w:eastAsia="Arial" w:hAnsi="Arial" w:cs="Arial"/>
          <w:lang w:val="es-ES"/>
        </w:rPr>
        <w:t>, la Corte se pronunció sobre las o</w:t>
      </w:r>
      <w:r w:rsidR="00050298" w:rsidRPr="33F8DE2A">
        <w:rPr>
          <w:rFonts w:ascii="Arial" w:eastAsia="Arial" w:hAnsi="Arial" w:cs="Arial"/>
          <w:lang w:val="es-ES"/>
        </w:rPr>
        <w:t xml:space="preserve">bligaciones de </w:t>
      </w:r>
      <w:r w:rsidR="3CB40349" w:rsidRPr="15AD2699">
        <w:rPr>
          <w:rFonts w:ascii="Arial" w:eastAsia="Arial" w:hAnsi="Arial" w:cs="Arial"/>
          <w:lang w:val="es-ES"/>
        </w:rPr>
        <w:t xml:space="preserve">las </w:t>
      </w:r>
      <w:r w:rsidR="00050298" w:rsidRPr="33F8DE2A">
        <w:rPr>
          <w:rFonts w:ascii="Arial" w:eastAsia="Arial" w:hAnsi="Arial" w:cs="Arial"/>
          <w:lang w:val="es-ES"/>
        </w:rPr>
        <w:t xml:space="preserve">autoridades </w:t>
      </w:r>
      <w:r w:rsidR="41D85FF6" w:rsidRPr="15AD2699">
        <w:rPr>
          <w:rFonts w:ascii="Arial" w:eastAsia="Arial" w:hAnsi="Arial" w:cs="Arial"/>
          <w:lang w:val="es-ES"/>
        </w:rPr>
        <w:t>respecto de los</w:t>
      </w:r>
      <w:r w:rsidR="00050298" w:rsidRPr="33F8DE2A">
        <w:rPr>
          <w:rFonts w:ascii="Arial" w:eastAsia="Arial" w:hAnsi="Arial" w:cs="Arial"/>
          <w:lang w:val="es-ES"/>
        </w:rPr>
        <w:t xml:space="preserve"> casos de menores de edad en situación de movilidad</w:t>
      </w:r>
      <w:r w:rsidR="00316CC2" w:rsidRPr="33F8DE2A">
        <w:rPr>
          <w:rFonts w:ascii="Arial" w:eastAsia="Arial" w:hAnsi="Arial" w:cs="Arial"/>
          <w:lang w:val="es-ES"/>
        </w:rPr>
        <w:t>.</w:t>
      </w:r>
      <w:r w:rsidR="00050298" w:rsidRPr="33F8DE2A">
        <w:rPr>
          <w:rFonts w:ascii="Arial" w:eastAsia="Arial" w:hAnsi="Arial" w:cs="Arial"/>
          <w:lang w:val="es-ES"/>
        </w:rPr>
        <w:t xml:space="preserve"> </w:t>
      </w:r>
      <w:r w:rsidR="00387A67" w:rsidRPr="4D0FC805">
        <w:rPr>
          <w:rFonts w:ascii="Arial" w:eastAsia="Arial" w:hAnsi="Arial" w:cs="Arial"/>
          <w:lang w:val="es-ES"/>
        </w:rPr>
        <w:t>(</w:t>
      </w:r>
      <w:r w:rsidR="099C7524" w:rsidRPr="4D0FC805">
        <w:rPr>
          <w:rFonts w:ascii="Arial" w:eastAsia="Arial" w:hAnsi="Arial" w:cs="Arial"/>
          <w:lang w:val="es-ES"/>
        </w:rPr>
        <w:t>P</w:t>
      </w:r>
      <w:r w:rsidR="099C7524" w:rsidRPr="05A0A611">
        <w:rPr>
          <w:rFonts w:ascii="Arial" w:eastAsia="Arial" w:hAnsi="Arial" w:cs="Arial"/>
          <w:lang w:val="es-ES"/>
        </w:rPr>
        <w:t>ara consultar</w:t>
      </w:r>
      <w:r w:rsidR="00D31654" w:rsidRPr="05A0A611">
        <w:rPr>
          <w:rFonts w:ascii="Arial" w:eastAsia="Arial" w:hAnsi="Arial" w:cs="Arial"/>
          <w:lang w:val="es-ES"/>
        </w:rPr>
        <w:t xml:space="preserve"> el </w:t>
      </w:r>
      <w:r w:rsidR="099C7524" w:rsidRPr="05A0A611">
        <w:rPr>
          <w:rFonts w:ascii="Arial" w:eastAsia="Arial" w:hAnsi="Arial" w:cs="Arial"/>
          <w:lang w:val="es-ES"/>
        </w:rPr>
        <w:t>buscador de sentencias y datos de expedientes</w:t>
      </w:r>
      <w:r w:rsidR="00D31654" w:rsidRPr="05A0A611">
        <w:rPr>
          <w:rFonts w:ascii="Arial" w:eastAsia="Arial" w:hAnsi="Arial" w:cs="Arial"/>
          <w:lang w:val="es-ES"/>
        </w:rPr>
        <w:t xml:space="preserve"> de la </w:t>
      </w:r>
      <w:r w:rsidR="099C7524" w:rsidRPr="05A0A611">
        <w:rPr>
          <w:rFonts w:ascii="Arial" w:eastAsia="Arial" w:hAnsi="Arial" w:cs="Arial"/>
          <w:lang w:val="es-ES"/>
        </w:rPr>
        <w:t>SCJN en el que se encuentra este documento, enlace</w:t>
      </w:r>
      <w:r w:rsidR="00D31654" w:rsidRPr="05A0A611">
        <w:rPr>
          <w:rFonts w:ascii="Arial" w:eastAsia="Arial" w:hAnsi="Arial" w:cs="Arial"/>
          <w:lang w:val="es-ES"/>
        </w:rPr>
        <w:t xml:space="preserve"> aquí</w:t>
      </w:r>
      <w:r w:rsidR="00D31654" w:rsidRPr="33F8DE2A">
        <w:rPr>
          <w:rFonts w:ascii="Arial" w:eastAsia="Arial" w:hAnsi="Arial" w:cs="Arial"/>
          <w:lang w:val="es-ES"/>
        </w:rPr>
        <w:t xml:space="preserve">: </w:t>
      </w:r>
      <w:hyperlink r:id="rId18">
        <w:r w:rsidR="00D31654" w:rsidRPr="33F8DE2A">
          <w:rPr>
            <w:rStyle w:val="Hipervnculo"/>
            <w:rFonts w:ascii="Arial" w:eastAsia="Arial" w:hAnsi="Arial" w:cs="Arial"/>
            <w:lang w:val="es-ES"/>
          </w:rPr>
          <w:t>https://www2.scjn.gob.mx/ConsultaTematica/PaginasPub/DetallePub.aspx?AsuntoID=268010</w:t>
        </w:r>
      </w:hyperlink>
      <w:r w:rsidR="5356A500" w:rsidRPr="33F8DE2A">
        <w:rPr>
          <w:rFonts w:ascii="Arial" w:eastAsia="Arial" w:hAnsi="Arial" w:cs="Arial"/>
          <w:lang w:val="es-ES"/>
        </w:rPr>
        <w:t>).</w:t>
      </w:r>
    </w:p>
    <w:p w14:paraId="269F72E1" w14:textId="2C299B51" w:rsidR="00D31654" w:rsidRPr="00B30EDE" w:rsidRDefault="7EA474A9" w:rsidP="6E83B9AD">
      <w:pPr>
        <w:pStyle w:val="Prrafodelista"/>
        <w:numPr>
          <w:ilvl w:val="0"/>
          <w:numId w:val="6"/>
        </w:numPr>
        <w:spacing w:line="240" w:lineRule="auto"/>
        <w:rPr>
          <w:rFonts w:ascii="Arial" w:eastAsia="Arial" w:hAnsi="Arial" w:cs="Arial"/>
          <w:lang w:val="es-ES"/>
        </w:rPr>
      </w:pPr>
      <w:r w:rsidRPr="33F8DE2A">
        <w:rPr>
          <w:rFonts w:ascii="Arial" w:eastAsia="Arial" w:hAnsi="Arial" w:cs="Arial"/>
          <w:lang w:val="es-ES"/>
        </w:rPr>
        <w:t xml:space="preserve">En la </w:t>
      </w:r>
      <w:r w:rsidR="00050298" w:rsidRPr="33F8DE2A">
        <w:rPr>
          <w:rFonts w:ascii="Arial" w:eastAsia="Arial" w:hAnsi="Arial" w:cs="Arial"/>
          <w:lang w:val="es-ES"/>
        </w:rPr>
        <w:t>Acción de Inconstitucionalidad 43/2022</w:t>
      </w:r>
      <w:r w:rsidR="1D111C4B" w:rsidRPr="33F8DE2A">
        <w:rPr>
          <w:rFonts w:ascii="Arial" w:eastAsia="Arial" w:hAnsi="Arial" w:cs="Arial"/>
          <w:lang w:val="es-ES"/>
        </w:rPr>
        <w:t>, la Corte analizó el d</w:t>
      </w:r>
      <w:r w:rsidR="00050298" w:rsidRPr="33F8DE2A">
        <w:rPr>
          <w:rFonts w:ascii="Arial" w:eastAsia="Arial" w:hAnsi="Arial" w:cs="Arial"/>
          <w:lang w:val="es-ES"/>
        </w:rPr>
        <w:t xml:space="preserve">erecho de NNA trans a que sus documentos de identidad sean acordes con su </w:t>
      </w:r>
      <w:r w:rsidR="00050298" w:rsidRPr="33F8DE2A">
        <w:rPr>
          <w:rFonts w:ascii="Arial" w:eastAsia="Arial" w:hAnsi="Arial" w:cs="Arial"/>
          <w:lang w:val="es-ES"/>
        </w:rPr>
        <w:lastRenderedPageBreak/>
        <w:t>identidad auto determinada</w:t>
      </w:r>
      <w:r w:rsidR="00316CC2" w:rsidRPr="33F8DE2A">
        <w:rPr>
          <w:rFonts w:ascii="Arial" w:eastAsia="Arial" w:hAnsi="Arial" w:cs="Arial"/>
          <w:lang w:val="es-ES"/>
        </w:rPr>
        <w:t>.</w:t>
      </w:r>
      <w:r w:rsidR="00050298" w:rsidRPr="33F8DE2A">
        <w:rPr>
          <w:rFonts w:ascii="Arial" w:eastAsia="Arial" w:hAnsi="Arial" w:cs="Arial"/>
          <w:lang w:val="es-ES"/>
        </w:rPr>
        <w:t xml:space="preserve"> </w:t>
      </w:r>
      <w:r w:rsidR="6B2874FE" w:rsidRPr="450BE381">
        <w:rPr>
          <w:rFonts w:ascii="Arial" w:eastAsia="Arial" w:hAnsi="Arial" w:cs="Arial"/>
          <w:lang w:val="es-ES"/>
        </w:rPr>
        <w:t>(</w:t>
      </w:r>
      <w:r w:rsidR="5AF95480" w:rsidRPr="450BE381">
        <w:rPr>
          <w:rFonts w:ascii="Arial" w:eastAsia="Arial" w:hAnsi="Arial" w:cs="Arial"/>
          <w:lang w:val="es-ES"/>
        </w:rPr>
        <w:t>Para consultar</w:t>
      </w:r>
      <w:r w:rsidR="00D31654" w:rsidRPr="33F8DE2A">
        <w:rPr>
          <w:rFonts w:ascii="Arial" w:eastAsia="Arial" w:hAnsi="Arial" w:cs="Arial"/>
          <w:lang w:val="es-ES"/>
        </w:rPr>
        <w:t xml:space="preserve"> el </w:t>
      </w:r>
      <w:r w:rsidR="5AF95480" w:rsidRPr="450BE381">
        <w:rPr>
          <w:rFonts w:ascii="Arial" w:eastAsia="Arial" w:hAnsi="Arial" w:cs="Arial"/>
          <w:lang w:val="es-ES"/>
        </w:rPr>
        <w:t>buscador de sentencias y datos de expedientes</w:t>
      </w:r>
      <w:r w:rsidR="00D31654" w:rsidRPr="33F8DE2A">
        <w:rPr>
          <w:rFonts w:ascii="Arial" w:eastAsia="Arial" w:hAnsi="Arial" w:cs="Arial"/>
          <w:lang w:val="es-ES"/>
        </w:rPr>
        <w:t xml:space="preserve"> de la </w:t>
      </w:r>
      <w:r w:rsidR="5AF95480" w:rsidRPr="450BE381">
        <w:rPr>
          <w:rFonts w:ascii="Arial" w:eastAsia="Arial" w:hAnsi="Arial" w:cs="Arial"/>
          <w:lang w:val="es-ES"/>
        </w:rPr>
        <w:t>SCJN en el que se encuentra este documento, enlace</w:t>
      </w:r>
      <w:r w:rsidR="00D31654" w:rsidRPr="33F8DE2A">
        <w:rPr>
          <w:rFonts w:ascii="Arial" w:eastAsia="Arial" w:hAnsi="Arial" w:cs="Arial"/>
          <w:lang w:val="es-ES"/>
        </w:rPr>
        <w:t xml:space="preserve"> aquí: </w:t>
      </w:r>
      <w:hyperlink r:id="rId19">
        <w:r w:rsidR="00D31654" w:rsidRPr="33F8DE2A">
          <w:rPr>
            <w:rStyle w:val="Hipervnculo"/>
            <w:rFonts w:ascii="Arial" w:eastAsia="Arial" w:hAnsi="Arial" w:cs="Arial"/>
            <w:lang w:val="es-ES"/>
          </w:rPr>
          <w:t>https://www2.scjn.gob.mx/ConsultasTematica/Detalle/294770</w:t>
        </w:r>
      </w:hyperlink>
      <w:r w:rsidR="4FFECF36" w:rsidRPr="33F8DE2A">
        <w:rPr>
          <w:rFonts w:ascii="Arial" w:eastAsia="Arial" w:hAnsi="Arial" w:cs="Arial"/>
          <w:lang w:val="es-ES"/>
        </w:rPr>
        <w:t>).</w:t>
      </w:r>
    </w:p>
    <w:p w14:paraId="4B3455E3" w14:textId="6426E53B" w:rsidR="00D31654" w:rsidRPr="00B30EDE" w:rsidRDefault="00395B1F" w:rsidP="6E83B9AD">
      <w:pPr>
        <w:pStyle w:val="Prrafodelista"/>
        <w:numPr>
          <w:ilvl w:val="0"/>
          <w:numId w:val="6"/>
        </w:numPr>
        <w:spacing w:line="240" w:lineRule="auto"/>
        <w:rPr>
          <w:rFonts w:ascii="Arial" w:eastAsia="Arial" w:hAnsi="Arial" w:cs="Arial"/>
          <w:lang w:val="es-ES"/>
        </w:rPr>
      </w:pPr>
      <w:r>
        <w:rPr>
          <w:rFonts w:ascii="Arial" w:eastAsia="Arial" w:hAnsi="Arial" w:cs="Arial"/>
          <w:lang w:val="es-ES"/>
        </w:rPr>
        <w:t>En</w:t>
      </w:r>
      <w:r w:rsidR="70833905" w:rsidRPr="33F8DE2A">
        <w:rPr>
          <w:rFonts w:ascii="Arial" w:eastAsia="Arial" w:hAnsi="Arial" w:cs="Arial"/>
          <w:lang w:val="es-ES"/>
        </w:rPr>
        <w:t xml:space="preserve"> el </w:t>
      </w:r>
      <w:r w:rsidR="00050298" w:rsidRPr="33F8DE2A">
        <w:rPr>
          <w:rFonts w:ascii="Arial" w:eastAsia="Arial" w:hAnsi="Arial" w:cs="Arial"/>
          <w:lang w:val="es-ES"/>
        </w:rPr>
        <w:t>Amparo en Revisión 714/2017</w:t>
      </w:r>
      <w:r w:rsidR="66C7094B" w:rsidRPr="33F8DE2A">
        <w:rPr>
          <w:rFonts w:ascii="Arial" w:eastAsia="Arial" w:hAnsi="Arial" w:cs="Arial"/>
          <w:lang w:val="es-ES"/>
        </w:rPr>
        <w:t xml:space="preserve"> se establecieron criterios sobre el d</w:t>
      </w:r>
      <w:r w:rsidR="00050298" w:rsidRPr="33F8DE2A">
        <w:rPr>
          <w:rFonts w:ascii="Arial" w:eastAsia="Arial" w:hAnsi="Arial" w:cs="Arial"/>
          <w:lang w:val="es-ES"/>
        </w:rPr>
        <w:t>erecho a la educación inclusiva</w:t>
      </w:r>
      <w:r w:rsidR="00316CC2" w:rsidRPr="33F8DE2A">
        <w:rPr>
          <w:rFonts w:ascii="Arial" w:eastAsia="Arial" w:hAnsi="Arial" w:cs="Arial"/>
          <w:lang w:val="es-ES"/>
        </w:rPr>
        <w:t>.</w:t>
      </w:r>
      <w:r w:rsidR="00050298" w:rsidRPr="33F8DE2A">
        <w:rPr>
          <w:rFonts w:ascii="Arial" w:eastAsia="Arial" w:hAnsi="Arial" w:cs="Arial"/>
          <w:lang w:val="es-ES"/>
        </w:rPr>
        <w:t xml:space="preserve"> </w:t>
      </w:r>
      <w:r w:rsidR="54DE743A" w:rsidRPr="450BE381">
        <w:rPr>
          <w:rFonts w:ascii="Arial" w:eastAsia="Arial" w:hAnsi="Arial" w:cs="Arial"/>
          <w:lang w:val="es-ES"/>
        </w:rPr>
        <w:t>(</w:t>
      </w:r>
      <w:r w:rsidR="2FA45B60" w:rsidRPr="450BE381">
        <w:rPr>
          <w:rFonts w:ascii="Arial" w:eastAsia="Arial" w:hAnsi="Arial" w:cs="Arial"/>
          <w:lang w:val="es-ES"/>
        </w:rPr>
        <w:t>Para consultar</w:t>
      </w:r>
      <w:r w:rsidR="00D31654" w:rsidRPr="33F8DE2A">
        <w:rPr>
          <w:rFonts w:ascii="Arial" w:eastAsia="Arial" w:hAnsi="Arial" w:cs="Arial"/>
          <w:lang w:val="es-ES"/>
        </w:rPr>
        <w:t xml:space="preserve"> el </w:t>
      </w:r>
      <w:r w:rsidR="2FA45B60" w:rsidRPr="450BE381">
        <w:rPr>
          <w:rFonts w:ascii="Arial" w:eastAsia="Arial" w:hAnsi="Arial" w:cs="Arial"/>
          <w:lang w:val="es-ES"/>
        </w:rPr>
        <w:t>buscador de sentencias y datos de expedientes</w:t>
      </w:r>
      <w:r w:rsidR="00D31654" w:rsidRPr="33F8DE2A">
        <w:rPr>
          <w:rFonts w:ascii="Arial" w:eastAsia="Arial" w:hAnsi="Arial" w:cs="Arial"/>
          <w:lang w:val="es-ES"/>
        </w:rPr>
        <w:t xml:space="preserve"> de la </w:t>
      </w:r>
      <w:r w:rsidR="2FA45B60" w:rsidRPr="450BE381">
        <w:rPr>
          <w:rFonts w:ascii="Arial" w:eastAsia="Arial" w:hAnsi="Arial" w:cs="Arial"/>
          <w:lang w:val="es-ES"/>
        </w:rPr>
        <w:t>SCJN en el que se encuentra este documento, enlace</w:t>
      </w:r>
      <w:r w:rsidR="00D31654" w:rsidRPr="33F8DE2A">
        <w:rPr>
          <w:rFonts w:ascii="Arial" w:eastAsia="Arial" w:hAnsi="Arial" w:cs="Arial"/>
          <w:lang w:val="es-ES"/>
        </w:rPr>
        <w:t xml:space="preserve"> aquí: </w:t>
      </w:r>
      <w:hyperlink r:id="rId20">
        <w:r w:rsidR="00D31654" w:rsidRPr="33F8DE2A">
          <w:rPr>
            <w:rStyle w:val="Hipervnculo"/>
            <w:rFonts w:ascii="Arial" w:eastAsia="Arial" w:hAnsi="Arial" w:cs="Arial"/>
            <w:lang w:val="es-ES"/>
          </w:rPr>
          <w:t>https://www2.scjn.gob.mx/ConsultasTematica/Detalle/219784</w:t>
        </w:r>
      </w:hyperlink>
      <w:r w:rsidR="0E23A4DC" w:rsidRPr="33F8DE2A">
        <w:rPr>
          <w:rFonts w:ascii="Arial" w:eastAsia="Arial" w:hAnsi="Arial" w:cs="Arial"/>
          <w:lang w:val="es-ES"/>
        </w:rPr>
        <w:t>).</w:t>
      </w:r>
    </w:p>
    <w:p w14:paraId="630530D2" w14:textId="4BA08B8E" w:rsidR="00D31654" w:rsidRPr="00D31654" w:rsidRDefault="4385E5AB" w:rsidP="6E83B9AD">
      <w:pPr>
        <w:pStyle w:val="Prrafodelista"/>
        <w:numPr>
          <w:ilvl w:val="0"/>
          <w:numId w:val="6"/>
        </w:numPr>
        <w:spacing w:line="240" w:lineRule="auto"/>
        <w:rPr>
          <w:rFonts w:ascii="Arial" w:eastAsia="Arial" w:hAnsi="Arial" w:cs="Arial"/>
          <w:lang w:val="es-ES"/>
        </w:rPr>
      </w:pPr>
      <w:r w:rsidRPr="33F8DE2A">
        <w:rPr>
          <w:rFonts w:ascii="Arial" w:eastAsia="Arial" w:hAnsi="Arial" w:cs="Arial"/>
          <w:lang w:val="es-ES"/>
        </w:rPr>
        <w:t xml:space="preserve">En el </w:t>
      </w:r>
      <w:r w:rsidR="00050298" w:rsidRPr="33F8DE2A">
        <w:rPr>
          <w:rFonts w:ascii="Arial" w:eastAsia="Arial" w:hAnsi="Arial" w:cs="Arial"/>
          <w:lang w:val="es-ES"/>
        </w:rPr>
        <w:t>Amparo Directo en Revisión 8577/2019</w:t>
      </w:r>
      <w:r w:rsidR="35470AC1" w:rsidRPr="33F8DE2A">
        <w:rPr>
          <w:rFonts w:ascii="Arial" w:eastAsia="Arial" w:hAnsi="Arial" w:cs="Arial"/>
          <w:lang w:val="es-ES"/>
        </w:rPr>
        <w:t xml:space="preserve"> se analizó la temática de los c</w:t>
      </w:r>
      <w:r w:rsidR="00050298" w:rsidRPr="33F8DE2A">
        <w:rPr>
          <w:rFonts w:ascii="Arial" w:eastAsia="Arial" w:hAnsi="Arial" w:cs="Arial"/>
          <w:lang w:val="es-ES"/>
        </w:rPr>
        <w:t>astigos corporales</w:t>
      </w:r>
      <w:r w:rsidR="00316CC2" w:rsidRPr="33F8DE2A">
        <w:rPr>
          <w:rFonts w:ascii="Arial" w:eastAsia="Arial" w:hAnsi="Arial" w:cs="Arial"/>
          <w:lang w:val="es-ES"/>
        </w:rPr>
        <w:t xml:space="preserve">. </w:t>
      </w:r>
      <w:r w:rsidR="66351B00" w:rsidRPr="450BE381">
        <w:rPr>
          <w:rFonts w:ascii="Arial" w:eastAsia="Arial" w:hAnsi="Arial" w:cs="Arial"/>
          <w:lang w:val="es-ES"/>
        </w:rPr>
        <w:t>(</w:t>
      </w:r>
      <w:r w:rsidR="2B5125F9" w:rsidRPr="450BE381">
        <w:rPr>
          <w:rFonts w:ascii="Arial" w:eastAsia="Arial" w:hAnsi="Arial" w:cs="Arial"/>
          <w:lang w:val="es-ES"/>
        </w:rPr>
        <w:t>Para consultar</w:t>
      </w:r>
      <w:r w:rsidR="00D31654" w:rsidRPr="33F8DE2A">
        <w:rPr>
          <w:rFonts w:ascii="Arial" w:eastAsia="Arial" w:hAnsi="Arial" w:cs="Arial"/>
          <w:lang w:val="es-ES"/>
        </w:rPr>
        <w:t xml:space="preserve"> el </w:t>
      </w:r>
      <w:r w:rsidR="2B5125F9" w:rsidRPr="450BE381">
        <w:rPr>
          <w:rFonts w:ascii="Arial" w:eastAsia="Arial" w:hAnsi="Arial" w:cs="Arial"/>
          <w:lang w:val="es-ES"/>
        </w:rPr>
        <w:t>buscador de sentencias y datos de expedientes</w:t>
      </w:r>
      <w:r w:rsidR="00D31654" w:rsidRPr="33F8DE2A">
        <w:rPr>
          <w:rFonts w:ascii="Arial" w:eastAsia="Arial" w:hAnsi="Arial" w:cs="Arial"/>
          <w:lang w:val="es-ES"/>
        </w:rPr>
        <w:t xml:space="preserve"> de la </w:t>
      </w:r>
      <w:r w:rsidR="2B5125F9" w:rsidRPr="450BE381">
        <w:rPr>
          <w:rFonts w:ascii="Arial" w:eastAsia="Arial" w:hAnsi="Arial" w:cs="Arial"/>
          <w:lang w:val="es-ES"/>
        </w:rPr>
        <w:t>SCJN en el que se encuentra este documento, enlace</w:t>
      </w:r>
      <w:r w:rsidR="00D31654" w:rsidRPr="33F8DE2A">
        <w:rPr>
          <w:rFonts w:ascii="Arial" w:eastAsia="Arial" w:hAnsi="Arial" w:cs="Arial"/>
          <w:lang w:val="es-ES"/>
        </w:rPr>
        <w:t xml:space="preserve"> aquí</w:t>
      </w:r>
      <w:r w:rsidR="2B5125F9" w:rsidRPr="201BFCEB">
        <w:rPr>
          <w:rFonts w:ascii="Arial" w:eastAsia="Arial" w:hAnsi="Arial" w:cs="Arial"/>
          <w:lang w:val="es-ES"/>
        </w:rPr>
        <w:t>:</w:t>
      </w:r>
      <w:r w:rsidR="00D31654" w:rsidRPr="33F8DE2A">
        <w:rPr>
          <w:rFonts w:ascii="Arial" w:eastAsia="Arial" w:hAnsi="Arial" w:cs="Arial"/>
          <w:lang w:val="es-ES"/>
        </w:rPr>
        <w:t xml:space="preserve"> </w:t>
      </w:r>
      <w:hyperlink r:id="rId21">
        <w:r w:rsidR="00D31654" w:rsidRPr="33F8DE2A">
          <w:rPr>
            <w:rStyle w:val="Hipervnculo"/>
            <w:rFonts w:ascii="Arial" w:eastAsia="Arial" w:hAnsi="Arial" w:cs="Arial"/>
            <w:lang w:val="es-ES"/>
          </w:rPr>
          <w:t>https://view.officeapps.live.com/op/view.aspx?src=https%3A%2F%2Fwww2.scjn.gob.mx%2Fjuridica%2Fengroses%2F1%2F2019%2F10%2F2_266181_5246.docx&amp;wdOrigin=BROWSELINK</w:t>
        </w:r>
      </w:hyperlink>
      <w:r w:rsidR="01711180" w:rsidRPr="201BFCEB">
        <w:rPr>
          <w:rFonts w:ascii="Arial" w:eastAsia="Arial" w:hAnsi="Arial" w:cs="Arial"/>
          <w:lang w:val="es-ES"/>
        </w:rPr>
        <w:t>)</w:t>
      </w:r>
      <w:r w:rsidR="6B889F6B" w:rsidRPr="201BFCEB">
        <w:rPr>
          <w:rFonts w:ascii="Arial" w:eastAsia="Arial" w:hAnsi="Arial" w:cs="Arial"/>
          <w:lang w:val="es-ES"/>
        </w:rPr>
        <w:t>.</w:t>
      </w:r>
    </w:p>
    <w:p w14:paraId="38516975" w14:textId="09FF0870" w:rsidR="006474AA" w:rsidRPr="00B30EDE" w:rsidRDefault="006474AA" w:rsidP="6E83B9AD">
      <w:pPr>
        <w:spacing w:line="240" w:lineRule="auto"/>
        <w:rPr>
          <w:rFonts w:ascii="Arial" w:eastAsia="Arial" w:hAnsi="Arial" w:cs="Arial"/>
          <w:lang w:val="es-ES"/>
        </w:rPr>
      </w:pPr>
      <w:r w:rsidRPr="33F8DE2A">
        <w:rPr>
          <w:rFonts w:ascii="Arial" w:eastAsia="Arial" w:hAnsi="Arial" w:cs="Arial"/>
          <w:lang w:val="es-ES"/>
        </w:rPr>
        <w:br w:type="page"/>
      </w:r>
    </w:p>
    <w:p w14:paraId="6162B83B" w14:textId="067B9ADF" w:rsidR="006474AA" w:rsidRPr="000D3EE2" w:rsidRDefault="5E507729" w:rsidP="6E83B9AD">
      <w:pPr>
        <w:pStyle w:val="Ttulo1"/>
        <w:spacing w:line="240" w:lineRule="auto"/>
        <w:rPr>
          <w:rFonts w:ascii="Arial" w:eastAsia="Arial" w:hAnsi="Arial" w:cs="Arial"/>
          <w:lang w:val="es-ES"/>
        </w:rPr>
      </w:pPr>
      <w:r w:rsidRPr="7863C03F">
        <w:rPr>
          <w:rFonts w:ascii="Arial" w:eastAsia="Arial" w:hAnsi="Arial" w:cs="Arial"/>
          <w:lang w:val="es-ES"/>
        </w:rPr>
        <w:lastRenderedPageBreak/>
        <w:t>N</w:t>
      </w:r>
      <w:r w:rsidR="7D4F3B90" w:rsidRPr="7863C03F">
        <w:rPr>
          <w:rFonts w:ascii="Arial" w:eastAsia="Arial" w:hAnsi="Arial" w:cs="Arial"/>
          <w:lang w:val="es-ES"/>
        </w:rPr>
        <w:t>iños, niñas y adolescentes (</w:t>
      </w:r>
      <w:r w:rsidR="006474AA" w:rsidRPr="33F8DE2A">
        <w:rPr>
          <w:rFonts w:ascii="Arial" w:eastAsia="Arial" w:hAnsi="Arial" w:cs="Arial"/>
          <w:lang w:val="es-ES"/>
        </w:rPr>
        <w:t>NNA</w:t>
      </w:r>
      <w:r w:rsidR="7D4F3B90" w:rsidRPr="7863C03F">
        <w:rPr>
          <w:rFonts w:ascii="Arial" w:eastAsia="Arial" w:hAnsi="Arial" w:cs="Arial"/>
          <w:lang w:val="es-ES"/>
        </w:rPr>
        <w:t>)</w:t>
      </w:r>
      <w:r w:rsidR="006474AA" w:rsidRPr="33F8DE2A">
        <w:rPr>
          <w:rFonts w:ascii="Arial" w:eastAsia="Arial" w:hAnsi="Arial" w:cs="Arial"/>
          <w:lang w:val="es-ES"/>
        </w:rPr>
        <w:t xml:space="preserve"> en la administración de justicia en México</w:t>
      </w:r>
    </w:p>
    <w:p w14:paraId="2778C1A7" w14:textId="28A12FF4" w:rsidR="00B30EDE" w:rsidRPr="00B30EDE" w:rsidRDefault="12D1F50D" w:rsidP="6E83B9AD">
      <w:pPr>
        <w:spacing w:line="240" w:lineRule="auto"/>
        <w:rPr>
          <w:rFonts w:ascii="Arial" w:eastAsia="Arial" w:hAnsi="Arial" w:cs="Arial"/>
          <w:lang w:val="es-ES"/>
        </w:rPr>
      </w:pPr>
      <w:r w:rsidRPr="33F8DE2A">
        <w:rPr>
          <w:rFonts w:ascii="Arial" w:eastAsia="Arial" w:hAnsi="Arial" w:cs="Arial"/>
          <w:lang w:val="es-ES"/>
        </w:rPr>
        <w:t>En est</w:t>
      </w:r>
      <w:r w:rsidR="37D53361" w:rsidRPr="33F8DE2A">
        <w:rPr>
          <w:rFonts w:ascii="Arial" w:eastAsia="Arial" w:hAnsi="Arial" w:cs="Arial"/>
          <w:lang w:val="es-ES"/>
        </w:rPr>
        <w:t xml:space="preserve">a sección </w:t>
      </w:r>
      <w:r w:rsidRPr="33F8DE2A">
        <w:rPr>
          <w:rFonts w:ascii="Arial" w:eastAsia="Arial" w:hAnsi="Arial" w:cs="Arial"/>
          <w:lang w:val="es-ES"/>
        </w:rPr>
        <w:t xml:space="preserve">se </w:t>
      </w:r>
      <w:r w:rsidR="00395B1F">
        <w:rPr>
          <w:rFonts w:ascii="Arial" w:eastAsia="Arial" w:hAnsi="Arial" w:cs="Arial"/>
          <w:lang w:val="es-ES"/>
        </w:rPr>
        <w:t>presentan</w:t>
      </w:r>
      <w:r w:rsidRPr="33F8DE2A">
        <w:rPr>
          <w:rFonts w:ascii="Arial" w:eastAsia="Arial" w:hAnsi="Arial" w:cs="Arial"/>
          <w:lang w:val="es-ES"/>
        </w:rPr>
        <w:t xml:space="preserve"> </w:t>
      </w:r>
      <w:r w:rsidR="0018272E">
        <w:rPr>
          <w:rFonts w:ascii="Arial" w:eastAsia="Arial" w:hAnsi="Arial" w:cs="Arial"/>
          <w:lang w:val="es-ES"/>
        </w:rPr>
        <w:t xml:space="preserve">cuatro </w:t>
      </w:r>
      <w:r w:rsidR="00395B1F">
        <w:rPr>
          <w:rFonts w:ascii="Arial" w:eastAsia="Arial" w:hAnsi="Arial" w:cs="Arial"/>
          <w:lang w:val="es-ES"/>
        </w:rPr>
        <w:t>gráficos</w:t>
      </w:r>
      <w:r w:rsidRPr="33F8DE2A">
        <w:rPr>
          <w:rFonts w:ascii="Arial" w:eastAsia="Arial" w:hAnsi="Arial" w:cs="Arial"/>
          <w:lang w:val="es-ES"/>
        </w:rPr>
        <w:t xml:space="preserve"> </w:t>
      </w:r>
      <w:r w:rsidR="6B65381B" w:rsidRPr="33F8DE2A">
        <w:rPr>
          <w:rFonts w:ascii="Arial" w:eastAsia="Arial" w:hAnsi="Arial" w:cs="Arial"/>
          <w:lang w:val="es-ES"/>
        </w:rPr>
        <w:t>estadístic</w:t>
      </w:r>
      <w:r w:rsidR="00395B1F">
        <w:rPr>
          <w:rFonts w:ascii="Arial" w:eastAsia="Arial" w:hAnsi="Arial" w:cs="Arial"/>
          <w:lang w:val="es-ES"/>
        </w:rPr>
        <w:t>o</w:t>
      </w:r>
      <w:r w:rsidR="6B65381B" w:rsidRPr="33F8DE2A">
        <w:rPr>
          <w:rFonts w:ascii="Arial" w:eastAsia="Arial" w:hAnsi="Arial" w:cs="Arial"/>
          <w:lang w:val="es-ES"/>
        </w:rPr>
        <w:t>s</w:t>
      </w:r>
      <w:r w:rsidRPr="33F8DE2A">
        <w:rPr>
          <w:rFonts w:ascii="Arial" w:eastAsia="Arial" w:hAnsi="Arial" w:cs="Arial"/>
          <w:lang w:val="es-ES"/>
        </w:rPr>
        <w:t xml:space="preserve"> que tienen como objetivo </w:t>
      </w:r>
      <w:r w:rsidR="4107217F" w:rsidRPr="33F8DE2A">
        <w:rPr>
          <w:rFonts w:ascii="Arial" w:eastAsia="Arial" w:hAnsi="Arial" w:cs="Arial"/>
          <w:lang w:val="es-ES"/>
        </w:rPr>
        <w:t>expone</w:t>
      </w:r>
      <w:r w:rsidRPr="33F8DE2A">
        <w:rPr>
          <w:rFonts w:ascii="Arial" w:eastAsia="Arial" w:hAnsi="Arial" w:cs="Arial"/>
          <w:lang w:val="es-ES"/>
        </w:rPr>
        <w:t xml:space="preserve">r la cantidad de adolescentes en conflicto con la ley penal, el número de </w:t>
      </w:r>
      <w:proofErr w:type="gramStart"/>
      <w:r w:rsidRPr="33F8DE2A">
        <w:rPr>
          <w:rFonts w:ascii="Arial" w:eastAsia="Arial" w:hAnsi="Arial" w:cs="Arial"/>
          <w:lang w:val="es-ES"/>
        </w:rPr>
        <w:t>niños y niñas</w:t>
      </w:r>
      <w:proofErr w:type="gramEnd"/>
      <w:r w:rsidRPr="33F8DE2A">
        <w:rPr>
          <w:rFonts w:ascii="Arial" w:eastAsia="Arial" w:hAnsi="Arial" w:cs="Arial"/>
          <w:lang w:val="es-ES"/>
        </w:rPr>
        <w:t xml:space="preserve"> </w:t>
      </w:r>
      <w:r w:rsidR="273DA9E0" w:rsidRPr="33F8DE2A">
        <w:rPr>
          <w:rFonts w:ascii="Arial" w:eastAsia="Arial" w:hAnsi="Arial" w:cs="Arial"/>
          <w:lang w:val="es-ES"/>
        </w:rPr>
        <w:t>víctimas</w:t>
      </w:r>
      <w:r w:rsidRPr="33F8DE2A">
        <w:rPr>
          <w:rFonts w:ascii="Arial" w:eastAsia="Arial" w:hAnsi="Arial" w:cs="Arial"/>
          <w:lang w:val="es-ES"/>
        </w:rPr>
        <w:t xml:space="preserve"> de delitos, </w:t>
      </w:r>
      <w:r w:rsidR="00183C10">
        <w:rPr>
          <w:rFonts w:ascii="Arial" w:eastAsia="Arial" w:hAnsi="Arial" w:cs="Arial"/>
          <w:lang w:val="es-ES"/>
        </w:rPr>
        <w:t xml:space="preserve">el </w:t>
      </w:r>
      <w:r w:rsidRPr="33F8DE2A">
        <w:rPr>
          <w:rFonts w:ascii="Arial" w:eastAsia="Arial" w:hAnsi="Arial" w:cs="Arial"/>
          <w:lang w:val="es-ES"/>
        </w:rPr>
        <w:t xml:space="preserve">número de sentencias </w:t>
      </w:r>
      <w:r w:rsidR="00835231">
        <w:rPr>
          <w:rFonts w:ascii="Arial" w:eastAsia="Arial" w:hAnsi="Arial" w:cs="Arial"/>
          <w:lang w:val="es-ES"/>
        </w:rPr>
        <w:t>en</w:t>
      </w:r>
      <w:r w:rsidRPr="33F8DE2A">
        <w:rPr>
          <w:rFonts w:ascii="Arial" w:eastAsia="Arial" w:hAnsi="Arial" w:cs="Arial"/>
          <w:lang w:val="es-ES"/>
        </w:rPr>
        <w:t xml:space="preserve"> materia familiar donde los intereses de los niñ</w:t>
      </w:r>
      <w:r w:rsidR="7D8AC5DE" w:rsidRPr="33F8DE2A">
        <w:rPr>
          <w:rFonts w:ascii="Arial" w:eastAsia="Arial" w:hAnsi="Arial" w:cs="Arial"/>
          <w:lang w:val="es-ES"/>
        </w:rPr>
        <w:t xml:space="preserve">os, niñas y adolescentes </w:t>
      </w:r>
      <w:r w:rsidR="238294D6" w:rsidRPr="33F8DE2A">
        <w:rPr>
          <w:rFonts w:ascii="Arial" w:eastAsia="Arial" w:hAnsi="Arial" w:cs="Arial"/>
          <w:lang w:val="es-ES"/>
        </w:rPr>
        <w:t>se ven involucrados y el porcentaje de niños que son escuchados durante la sustanciación de un juicio.</w:t>
      </w:r>
      <w:r w:rsidR="2B7A3BCE" w:rsidRPr="33F8DE2A">
        <w:rPr>
          <w:rFonts w:ascii="Arial" w:eastAsia="Arial" w:hAnsi="Arial" w:cs="Arial"/>
          <w:lang w:val="es-ES"/>
        </w:rPr>
        <w:t xml:space="preserve"> </w:t>
      </w:r>
    </w:p>
    <w:p w14:paraId="13E86419" w14:textId="23841192" w:rsidR="00ED3353" w:rsidRDefault="3DCD25CC" w:rsidP="3A78B043">
      <w:pPr>
        <w:pStyle w:val="Prrafodelista"/>
        <w:numPr>
          <w:ilvl w:val="0"/>
          <w:numId w:val="5"/>
        </w:numPr>
        <w:spacing w:line="240" w:lineRule="auto"/>
        <w:rPr>
          <w:rFonts w:ascii="Arial" w:eastAsia="Arial" w:hAnsi="Arial" w:cs="Arial"/>
          <w:b/>
          <w:bCs/>
          <w:lang w:val="es-ES"/>
        </w:rPr>
      </w:pPr>
      <w:r w:rsidRPr="73F4508C">
        <w:rPr>
          <w:rFonts w:ascii="Arial" w:eastAsia="Arial" w:hAnsi="Arial" w:cs="Arial"/>
          <w:b/>
          <w:bCs/>
          <w:lang w:val="es-ES"/>
        </w:rPr>
        <w:t xml:space="preserve">Adolescentes en conflicto con la ley penal  </w:t>
      </w:r>
    </w:p>
    <w:p w14:paraId="08C8874C" w14:textId="31339912" w:rsidR="00ED3353" w:rsidRDefault="005161C3" w:rsidP="6E83B9AD">
      <w:pPr>
        <w:spacing w:line="240" w:lineRule="auto"/>
        <w:rPr>
          <w:rFonts w:ascii="Arial" w:eastAsia="Arial" w:hAnsi="Arial" w:cs="Arial"/>
          <w:lang w:val="es-ES"/>
        </w:rPr>
      </w:pPr>
      <w:r>
        <w:t>Durante 2022, 56.5% de las y los adolescentes en el Sistema Integral de Justicia Penal para Adolescentes cumplía una medida de sanción en externación y 30.2 % cumplía una sanción de internamiento. ENASJUP INEGI 2023</w:t>
      </w:r>
    </w:p>
    <w:p w14:paraId="5B940D89" w14:textId="77A5E9F4" w:rsidR="00D31654" w:rsidRPr="00D31654" w:rsidRDefault="6EF822F9" w:rsidP="6E83B9AD">
      <w:pPr>
        <w:spacing w:line="240" w:lineRule="auto"/>
        <w:rPr>
          <w:rFonts w:ascii="Arial" w:eastAsia="Arial" w:hAnsi="Arial" w:cs="Arial"/>
          <w:lang w:val="es-ES"/>
        </w:rPr>
      </w:pPr>
      <w:r w:rsidRPr="33F8DE2A">
        <w:rPr>
          <w:rFonts w:ascii="Arial" w:eastAsia="Arial" w:hAnsi="Arial" w:cs="Arial"/>
          <w:lang w:val="es-ES"/>
        </w:rPr>
        <w:t>(</w:t>
      </w:r>
      <w:r w:rsidR="00D31654" w:rsidRPr="33F8DE2A">
        <w:rPr>
          <w:rFonts w:ascii="Arial" w:eastAsia="Arial" w:hAnsi="Arial" w:cs="Arial"/>
          <w:lang w:val="es-ES"/>
        </w:rPr>
        <w:t xml:space="preserve">Consulta la fuente con la que se realizó la gráfica aquí: </w:t>
      </w:r>
      <w:hyperlink r:id="rId22">
        <w:r w:rsidR="00D31654" w:rsidRPr="33F8DE2A">
          <w:rPr>
            <w:rStyle w:val="Hipervnculo"/>
            <w:rFonts w:ascii="Arial" w:eastAsia="Arial" w:hAnsi="Arial" w:cs="Arial"/>
            <w:lang w:val="es-ES"/>
          </w:rPr>
          <w:t>https://www.inegi.org.mx/contenidos/saladeprensa/boletines/2023/ENASJUP/ENASJUP2022.pdf</w:t>
        </w:r>
      </w:hyperlink>
      <w:r w:rsidR="244852C7" w:rsidRPr="33F8DE2A">
        <w:rPr>
          <w:rFonts w:ascii="Arial" w:eastAsia="Arial" w:hAnsi="Arial" w:cs="Arial"/>
          <w:lang w:val="es-ES"/>
        </w:rPr>
        <w:t>).</w:t>
      </w:r>
    </w:p>
    <w:p w14:paraId="41FB2541" w14:textId="400CB276" w:rsidR="570D9321" w:rsidRDefault="570D9321" w:rsidP="6E83B9AD">
      <w:pPr>
        <w:spacing w:line="240" w:lineRule="auto"/>
        <w:rPr>
          <w:rFonts w:ascii="Arial" w:eastAsia="Arial" w:hAnsi="Arial" w:cs="Arial"/>
          <w:lang w:val="es-ES"/>
        </w:rPr>
      </w:pPr>
    </w:p>
    <w:p w14:paraId="2BBE1B04" w14:textId="3AA6B3DD" w:rsidR="00ED3353" w:rsidRDefault="3180B93E" w:rsidP="6E83B9AD">
      <w:pPr>
        <w:pStyle w:val="Prrafodelista"/>
        <w:numPr>
          <w:ilvl w:val="0"/>
          <w:numId w:val="5"/>
        </w:numPr>
        <w:spacing w:line="240" w:lineRule="auto"/>
        <w:rPr>
          <w:rFonts w:ascii="Arial" w:eastAsia="Arial" w:hAnsi="Arial" w:cs="Arial"/>
          <w:b/>
          <w:lang w:val="es-ES"/>
        </w:rPr>
      </w:pPr>
      <w:proofErr w:type="gramStart"/>
      <w:r w:rsidRPr="33F8DE2A">
        <w:rPr>
          <w:rFonts w:ascii="Arial" w:eastAsia="Arial" w:hAnsi="Arial" w:cs="Arial"/>
          <w:b/>
          <w:lang w:val="es-ES"/>
        </w:rPr>
        <w:t>Niños y niñas</w:t>
      </w:r>
      <w:proofErr w:type="gramEnd"/>
      <w:r w:rsidRPr="33F8DE2A">
        <w:rPr>
          <w:rFonts w:ascii="Arial" w:eastAsia="Arial" w:hAnsi="Arial" w:cs="Arial"/>
          <w:b/>
          <w:lang w:val="es-ES"/>
        </w:rPr>
        <w:t xml:space="preserve"> víctimas de delitos </w:t>
      </w:r>
    </w:p>
    <w:p w14:paraId="3280FF64" w14:textId="497F7B36" w:rsidR="00ED3353" w:rsidRDefault="005161C3" w:rsidP="6E83B9AD">
      <w:pPr>
        <w:spacing w:line="240" w:lineRule="auto"/>
        <w:rPr>
          <w:rFonts w:ascii="Arial" w:eastAsia="Arial" w:hAnsi="Arial" w:cs="Arial"/>
          <w:lang w:val="es-ES"/>
        </w:rPr>
      </w:pPr>
      <w:r>
        <w:t>El mayor número de sentencias emitidas por delitos cometidos en contra de niños o niñas son por violación y abuso sexual, con un 71% de 61 sentencias estudiadas. ODI 2022</w:t>
      </w:r>
    </w:p>
    <w:p w14:paraId="54A13FCA" w14:textId="0E8C15A0" w:rsidR="570D9321" w:rsidRDefault="5A9B5E08" w:rsidP="6E83B9AD">
      <w:pPr>
        <w:spacing w:line="240" w:lineRule="auto"/>
        <w:rPr>
          <w:rFonts w:ascii="Arial" w:eastAsia="Arial" w:hAnsi="Arial" w:cs="Arial"/>
          <w:lang w:val="es-ES"/>
        </w:rPr>
      </w:pPr>
      <w:r w:rsidRPr="33F8DE2A">
        <w:rPr>
          <w:rFonts w:ascii="Arial" w:eastAsia="Arial" w:hAnsi="Arial" w:cs="Arial"/>
          <w:lang w:val="es-ES"/>
        </w:rPr>
        <w:t>(</w:t>
      </w:r>
      <w:r w:rsidR="00D31654" w:rsidRPr="33F8DE2A">
        <w:rPr>
          <w:rFonts w:ascii="Arial" w:eastAsia="Arial" w:hAnsi="Arial" w:cs="Arial"/>
          <w:lang w:val="es-ES"/>
        </w:rPr>
        <w:t xml:space="preserve">Consulta la fuente con la que se realizó la gráfica aquí: </w:t>
      </w:r>
      <w:hyperlink r:id="rId23">
        <w:r w:rsidR="00D31654" w:rsidRPr="33F8DE2A">
          <w:rPr>
            <w:rStyle w:val="Hipervnculo"/>
            <w:rFonts w:ascii="Arial" w:eastAsia="Arial" w:hAnsi="Arial" w:cs="Arial"/>
            <w:lang w:val="es-ES"/>
          </w:rPr>
          <w:t>https://dispensariodi.com/wp-content/uploads/2022/09/Justicia-inadaptada.pdf</w:t>
        </w:r>
      </w:hyperlink>
      <w:r w:rsidR="3D2386CB" w:rsidRPr="33F8DE2A">
        <w:rPr>
          <w:rFonts w:ascii="Arial" w:eastAsia="Arial" w:hAnsi="Arial" w:cs="Arial"/>
          <w:lang w:val="es-ES"/>
        </w:rPr>
        <w:t>).</w:t>
      </w:r>
      <w:r w:rsidR="00D31654" w:rsidRPr="33F8DE2A">
        <w:rPr>
          <w:rFonts w:ascii="Arial" w:eastAsia="Arial" w:hAnsi="Arial" w:cs="Arial"/>
          <w:lang w:val="es-ES"/>
        </w:rPr>
        <w:t xml:space="preserve"> </w:t>
      </w:r>
    </w:p>
    <w:p w14:paraId="242D66E0" w14:textId="2B4EA138" w:rsidR="570D9321" w:rsidRDefault="570D9321" w:rsidP="6E83B9AD">
      <w:pPr>
        <w:spacing w:line="240" w:lineRule="auto"/>
        <w:rPr>
          <w:rFonts w:ascii="Arial" w:eastAsia="Arial" w:hAnsi="Arial" w:cs="Arial"/>
          <w:lang w:val="es-ES"/>
        </w:rPr>
      </w:pPr>
    </w:p>
    <w:p w14:paraId="2A24463C" w14:textId="284EF8AF" w:rsidR="006474AA" w:rsidRDefault="4126DA7F" w:rsidP="6E83B9AD">
      <w:pPr>
        <w:pStyle w:val="Prrafodelista"/>
        <w:numPr>
          <w:ilvl w:val="0"/>
          <w:numId w:val="5"/>
        </w:numPr>
        <w:spacing w:line="240" w:lineRule="auto"/>
        <w:rPr>
          <w:rFonts w:ascii="Arial" w:eastAsia="Arial" w:hAnsi="Arial" w:cs="Arial"/>
          <w:b/>
          <w:lang w:val="es-ES"/>
        </w:rPr>
      </w:pPr>
      <w:r w:rsidRPr="7863C03F">
        <w:rPr>
          <w:rFonts w:ascii="Arial" w:eastAsia="Arial" w:hAnsi="Arial" w:cs="Arial"/>
          <w:b/>
          <w:bCs/>
          <w:lang w:val="es-ES"/>
        </w:rPr>
        <w:t>S</w:t>
      </w:r>
      <w:r w:rsidR="40D074E5" w:rsidRPr="7863C03F">
        <w:rPr>
          <w:rFonts w:ascii="Arial" w:eastAsia="Arial" w:hAnsi="Arial" w:cs="Arial"/>
          <w:b/>
          <w:bCs/>
          <w:lang w:val="es-ES"/>
        </w:rPr>
        <w:t>entencias</w:t>
      </w:r>
      <w:r w:rsidR="2E412970" w:rsidRPr="33F8DE2A">
        <w:rPr>
          <w:rFonts w:ascii="Arial" w:eastAsia="Arial" w:hAnsi="Arial" w:cs="Arial"/>
          <w:b/>
          <w:lang w:val="es-ES"/>
        </w:rPr>
        <w:t xml:space="preserve"> en materia familiar </w:t>
      </w:r>
    </w:p>
    <w:p w14:paraId="3B883DD2" w14:textId="26BC33B7" w:rsidR="006474AA" w:rsidRDefault="005161C3" w:rsidP="6E83B9AD">
      <w:pPr>
        <w:spacing w:line="240" w:lineRule="auto"/>
        <w:rPr>
          <w:rFonts w:ascii="Arial" w:eastAsia="Arial" w:hAnsi="Arial" w:cs="Arial"/>
          <w:lang w:val="es-ES"/>
        </w:rPr>
      </w:pPr>
      <w:r>
        <w:t>Los reclamos en materia familiar en los que se ven involucrados intereses de NNA son principalmente por pérdida de patria potestad con 26% (de 59 sentencias estudiadas)</w:t>
      </w:r>
      <w:r>
        <w:t>.</w:t>
      </w:r>
      <w:r>
        <w:t xml:space="preserve"> ODI 2022</w:t>
      </w:r>
    </w:p>
    <w:p w14:paraId="2F0B1693" w14:textId="512B601F" w:rsidR="00D31654" w:rsidRPr="00D31654" w:rsidRDefault="273B1C99" w:rsidP="6E83B9AD">
      <w:pPr>
        <w:spacing w:line="240" w:lineRule="auto"/>
        <w:rPr>
          <w:rFonts w:ascii="Arial" w:eastAsia="Arial" w:hAnsi="Arial" w:cs="Arial"/>
          <w:lang w:val="es-ES"/>
        </w:rPr>
      </w:pPr>
      <w:r w:rsidRPr="33F8DE2A">
        <w:rPr>
          <w:rFonts w:ascii="Arial" w:eastAsia="Arial" w:hAnsi="Arial" w:cs="Arial"/>
          <w:lang w:val="es-ES"/>
        </w:rPr>
        <w:t>(</w:t>
      </w:r>
      <w:r w:rsidR="00D31654" w:rsidRPr="33F8DE2A">
        <w:rPr>
          <w:rFonts w:ascii="Arial" w:eastAsia="Arial" w:hAnsi="Arial" w:cs="Arial"/>
          <w:lang w:val="es-ES"/>
        </w:rPr>
        <w:t xml:space="preserve">Consulta la fuente con la que se realizó la gráfica aquí: </w:t>
      </w:r>
      <w:hyperlink r:id="rId24">
        <w:r w:rsidR="00D31654" w:rsidRPr="33F8DE2A">
          <w:rPr>
            <w:rStyle w:val="Hipervnculo"/>
            <w:rFonts w:ascii="Arial" w:eastAsia="Arial" w:hAnsi="Arial" w:cs="Arial"/>
            <w:lang w:val="es-ES"/>
          </w:rPr>
          <w:t>https://dispensariodi.com/wp-content/uploads/2022/09/Justicia-inadaptada.pdf</w:t>
        </w:r>
      </w:hyperlink>
      <w:r w:rsidR="46CD7D43" w:rsidRPr="33F8DE2A">
        <w:rPr>
          <w:rFonts w:ascii="Arial" w:eastAsia="Arial" w:hAnsi="Arial" w:cs="Arial"/>
          <w:lang w:val="es-ES"/>
        </w:rPr>
        <w:t>).</w:t>
      </w:r>
    </w:p>
    <w:p w14:paraId="6C3945F0" w14:textId="5495588D" w:rsidR="570D9321" w:rsidRDefault="570D9321" w:rsidP="6E83B9AD">
      <w:pPr>
        <w:spacing w:line="240" w:lineRule="auto"/>
        <w:rPr>
          <w:rFonts w:ascii="Arial" w:eastAsia="Arial" w:hAnsi="Arial" w:cs="Arial"/>
          <w:lang w:val="es-ES"/>
        </w:rPr>
      </w:pPr>
    </w:p>
    <w:p w14:paraId="633CDBBB" w14:textId="1D18C71A" w:rsidR="00D3515E" w:rsidRDefault="6E68E86E" w:rsidP="6E83B9AD">
      <w:pPr>
        <w:pStyle w:val="Prrafodelista"/>
        <w:numPr>
          <w:ilvl w:val="0"/>
          <w:numId w:val="5"/>
        </w:numPr>
        <w:spacing w:line="240" w:lineRule="auto"/>
        <w:rPr>
          <w:rFonts w:ascii="Arial" w:eastAsia="Arial" w:hAnsi="Arial" w:cs="Arial"/>
          <w:b/>
          <w:lang w:val="es-ES"/>
        </w:rPr>
      </w:pPr>
      <w:r w:rsidRPr="7863C03F">
        <w:rPr>
          <w:rFonts w:ascii="Arial" w:eastAsia="Arial" w:hAnsi="Arial" w:cs="Arial"/>
          <w:b/>
          <w:bCs/>
          <w:lang w:val="es-ES"/>
        </w:rPr>
        <w:t>N</w:t>
      </w:r>
      <w:r w:rsidR="4CF4E6B4" w:rsidRPr="7863C03F">
        <w:rPr>
          <w:rFonts w:ascii="Arial" w:eastAsia="Arial" w:hAnsi="Arial" w:cs="Arial"/>
          <w:b/>
          <w:bCs/>
          <w:lang w:val="es-ES"/>
        </w:rPr>
        <w:t>úmero</w:t>
      </w:r>
      <w:r w:rsidR="2A3F8D7E" w:rsidRPr="33F8DE2A">
        <w:rPr>
          <w:rFonts w:ascii="Arial" w:eastAsia="Arial" w:hAnsi="Arial" w:cs="Arial"/>
          <w:b/>
          <w:lang w:val="es-ES"/>
        </w:rPr>
        <w:t xml:space="preserve"> de </w:t>
      </w:r>
      <w:proofErr w:type="gramStart"/>
      <w:r w:rsidR="2A3F8D7E" w:rsidRPr="33F8DE2A">
        <w:rPr>
          <w:rFonts w:ascii="Arial" w:eastAsia="Arial" w:hAnsi="Arial" w:cs="Arial"/>
          <w:b/>
          <w:lang w:val="es-ES"/>
        </w:rPr>
        <w:t>niños y niñas</w:t>
      </w:r>
      <w:proofErr w:type="gramEnd"/>
      <w:r w:rsidR="2A3F8D7E" w:rsidRPr="33F8DE2A">
        <w:rPr>
          <w:rFonts w:ascii="Arial" w:eastAsia="Arial" w:hAnsi="Arial" w:cs="Arial"/>
          <w:b/>
          <w:lang w:val="es-ES"/>
        </w:rPr>
        <w:t xml:space="preserve"> que son </w:t>
      </w:r>
      <w:r w:rsidR="4CF4E6B4" w:rsidRPr="7863C03F">
        <w:rPr>
          <w:rFonts w:ascii="Arial" w:eastAsia="Arial" w:hAnsi="Arial" w:cs="Arial"/>
          <w:b/>
          <w:bCs/>
          <w:lang w:val="es-ES"/>
        </w:rPr>
        <w:t>escuchado</w:t>
      </w:r>
      <w:r w:rsidR="3C76B0A5" w:rsidRPr="7863C03F">
        <w:rPr>
          <w:rFonts w:ascii="Arial" w:eastAsia="Arial" w:hAnsi="Arial" w:cs="Arial"/>
          <w:b/>
          <w:bCs/>
          <w:lang w:val="es-ES"/>
        </w:rPr>
        <w:t>s</w:t>
      </w:r>
      <w:r w:rsidR="2A3F8D7E" w:rsidRPr="33F8DE2A">
        <w:rPr>
          <w:rFonts w:ascii="Arial" w:eastAsia="Arial" w:hAnsi="Arial" w:cs="Arial"/>
          <w:b/>
          <w:lang w:val="es-ES"/>
        </w:rPr>
        <w:t xml:space="preserve"> durante la sustanciación de un juicio. </w:t>
      </w:r>
    </w:p>
    <w:p w14:paraId="21358F76" w14:textId="0EE5FA42" w:rsidR="00D3515E" w:rsidRDefault="005161C3" w:rsidP="6E83B9AD">
      <w:pPr>
        <w:spacing w:line="240" w:lineRule="auto"/>
        <w:rPr>
          <w:rFonts w:ascii="Arial" w:eastAsia="Arial" w:hAnsi="Arial" w:cs="Arial"/>
          <w:lang w:val="es-ES"/>
        </w:rPr>
      </w:pPr>
      <w:r>
        <w:t>NNA son escuchados durante alguna etapa del juicio en un 75% de los casos. Sin embargo, solamente en un 36% su opinión o testimonio se registra de manera íntegra. ODI 2022</w:t>
      </w:r>
    </w:p>
    <w:p w14:paraId="586E8543" w14:textId="6D645194" w:rsidR="00D3515E" w:rsidRDefault="21A2CC47" w:rsidP="6E83B9AD">
      <w:pPr>
        <w:spacing w:line="240" w:lineRule="auto"/>
        <w:rPr>
          <w:rFonts w:ascii="Arial" w:eastAsia="Arial" w:hAnsi="Arial" w:cs="Arial"/>
          <w:b/>
          <w:lang w:val="es-ES"/>
        </w:rPr>
      </w:pPr>
      <w:r w:rsidRPr="33F8DE2A">
        <w:rPr>
          <w:rFonts w:ascii="Arial" w:eastAsia="Arial" w:hAnsi="Arial" w:cs="Arial"/>
          <w:lang w:val="es-ES"/>
        </w:rPr>
        <w:t>(</w:t>
      </w:r>
      <w:r w:rsidR="00D31654" w:rsidRPr="33F8DE2A">
        <w:rPr>
          <w:rFonts w:ascii="Arial" w:eastAsia="Arial" w:hAnsi="Arial" w:cs="Arial"/>
          <w:lang w:val="es-ES"/>
        </w:rPr>
        <w:t xml:space="preserve">Consulta la fuente con la que se realizó la gráfica aquí: </w:t>
      </w:r>
      <w:hyperlink r:id="rId25">
        <w:r w:rsidR="00D31654" w:rsidRPr="33F8DE2A">
          <w:rPr>
            <w:rStyle w:val="Hipervnculo"/>
            <w:rFonts w:ascii="Arial" w:eastAsia="Arial" w:hAnsi="Arial" w:cs="Arial"/>
            <w:lang w:val="es-ES"/>
          </w:rPr>
          <w:t>https://dispensariodi.com/wp-content/uploads/2022/09/Justicia-inadaptada.pdf</w:t>
        </w:r>
      </w:hyperlink>
      <w:r w:rsidR="520E9BF4" w:rsidRPr="33F8DE2A">
        <w:rPr>
          <w:rFonts w:ascii="Arial" w:eastAsia="Arial" w:hAnsi="Arial" w:cs="Arial"/>
          <w:lang w:val="es-ES"/>
        </w:rPr>
        <w:t>).</w:t>
      </w:r>
      <w:r w:rsidR="00D31654" w:rsidRPr="33F8DE2A">
        <w:rPr>
          <w:rFonts w:ascii="Arial" w:eastAsia="Arial" w:hAnsi="Arial" w:cs="Arial"/>
          <w:lang w:val="es-ES"/>
        </w:rPr>
        <w:t xml:space="preserve"> </w:t>
      </w:r>
      <w:r w:rsidR="00D3515E" w:rsidRPr="33F8DE2A">
        <w:rPr>
          <w:rFonts w:ascii="Arial" w:eastAsia="Arial" w:hAnsi="Arial" w:cs="Arial"/>
          <w:lang w:val="es-ES"/>
        </w:rPr>
        <w:t xml:space="preserve"> </w:t>
      </w:r>
      <w:r w:rsidR="000D3EE2" w:rsidRPr="33F8DE2A">
        <w:rPr>
          <w:rFonts w:ascii="Arial" w:eastAsia="Arial" w:hAnsi="Arial" w:cs="Arial"/>
          <w:b/>
          <w:lang w:val="es-ES"/>
        </w:rPr>
        <w:br w:type="page"/>
      </w:r>
    </w:p>
    <w:p w14:paraId="3D4A07A4" w14:textId="438561AC" w:rsidR="6FE1D43C" w:rsidRDefault="6FE1D43C" w:rsidP="6E83B9AD">
      <w:pPr>
        <w:spacing w:line="240" w:lineRule="auto"/>
        <w:rPr>
          <w:rFonts w:ascii="Arial" w:eastAsia="Arial" w:hAnsi="Arial" w:cs="Arial"/>
        </w:rPr>
      </w:pPr>
    </w:p>
    <w:p w14:paraId="136AAC91" w14:textId="7F68C162" w:rsidR="005F64D0" w:rsidRPr="005F64D0" w:rsidRDefault="00D3515E" w:rsidP="6E83B9AD">
      <w:pPr>
        <w:pStyle w:val="Ttulo1"/>
        <w:spacing w:line="240" w:lineRule="auto"/>
        <w:rPr>
          <w:rFonts w:ascii="Arial" w:eastAsia="Arial" w:hAnsi="Arial" w:cs="Arial"/>
          <w:lang w:val="es-ES"/>
        </w:rPr>
      </w:pPr>
      <w:r w:rsidRPr="33F8DE2A">
        <w:rPr>
          <w:rFonts w:ascii="Arial" w:eastAsia="Arial" w:hAnsi="Arial" w:cs="Arial"/>
          <w:lang w:val="es-ES"/>
        </w:rPr>
        <w:t xml:space="preserve">México ante los sistemas internacionales de justicia </w:t>
      </w:r>
    </w:p>
    <w:p w14:paraId="4EB4793C" w14:textId="2B04D7B7" w:rsidR="005F64D0" w:rsidRPr="005F64D0" w:rsidRDefault="06C76F82" w:rsidP="6E83B9AD">
      <w:pPr>
        <w:spacing w:after="0" w:line="240" w:lineRule="auto"/>
        <w:rPr>
          <w:rFonts w:ascii="Arial" w:eastAsia="Arial" w:hAnsi="Arial" w:cs="Arial"/>
          <w:lang w:val="es"/>
        </w:rPr>
      </w:pPr>
      <w:r w:rsidRPr="33F8DE2A">
        <w:rPr>
          <w:rFonts w:ascii="Arial" w:eastAsia="Arial" w:hAnsi="Arial" w:cs="Arial"/>
          <w:lang w:val="es"/>
        </w:rPr>
        <w:t xml:space="preserve">En este apartado se da cuenta de los asuntos de trascendencia jurídica, que no necesariamente se encuentran relacionados </w:t>
      </w:r>
      <w:r w:rsidR="5EE798B8" w:rsidRPr="63FB3335">
        <w:rPr>
          <w:rFonts w:ascii="Arial" w:eastAsia="Arial" w:hAnsi="Arial" w:cs="Arial"/>
          <w:lang w:val="es"/>
        </w:rPr>
        <w:t>con</w:t>
      </w:r>
      <w:r w:rsidR="2C5E3CB6" w:rsidRPr="63FB3335">
        <w:rPr>
          <w:rFonts w:ascii="Arial" w:eastAsia="Arial" w:hAnsi="Arial" w:cs="Arial"/>
          <w:lang w:val="es"/>
        </w:rPr>
        <w:t xml:space="preserve"> </w:t>
      </w:r>
      <w:r w:rsidRPr="33F8DE2A">
        <w:rPr>
          <w:rFonts w:ascii="Arial" w:eastAsia="Arial" w:hAnsi="Arial" w:cs="Arial"/>
          <w:lang w:val="es"/>
        </w:rPr>
        <w:t>niños, niñas y adolescentes, pero que involucran al Estado mexicano en los Sistemas de Justicia Internacional.</w:t>
      </w:r>
    </w:p>
    <w:p w14:paraId="1818DBA2" w14:textId="5E288D71" w:rsidR="005F64D0" w:rsidRPr="005F64D0" w:rsidRDefault="005F64D0" w:rsidP="6E83B9AD">
      <w:pPr>
        <w:spacing w:after="0" w:line="240" w:lineRule="auto"/>
        <w:rPr>
          <w:rFonts w:ascii="Arial" w:eastAsia="Arial" w:hAnsi="Arial" w:cs="Arial"/>
          <w:lang w:val="es"/>
        </w:rPr>
      </w:pPr>
    </w:p>
    <w:p w14:paraId="5625A5B1" w14:textId="64137A2C" w:rsidR="005F64D0" w:rsidRPr="005F64D0" w:rsidRDefault="55175148" w:rsidP="6E83B9AD">
      <w:pPr>
        <w:pStyle w:val="Prrafodelista"/>
        <w:numPr>
          <w:ilvl w:val="0"/>
          <w:numId w:val="4"/>
        </w:numPr>
        <w:spacing w:line="240" w:lineRule="auto"/>
        <w:rPr>
          <w:rFonts w:ascii="Arial" w:eastAsia="Arial" w:hAnsi="Arial" w:cs="Arial"/>
          <w:lang w:val="es-ES"/>
        </w:rPr>
      </w:pPr>
      <w:r w:rsidRPr="33F8DE2A">
        <w:rPr>
          <w:rFonts w:ascii="Arial" w:eastAsia="Arial" w:hAnsi="Arial" w:cs="Arial"/>
          <w:lang w:val="es-ES"/>
        </w:rPr>
        <w:t>A través de la sesión plenaria del 9 de octubre</w:t>
      </w:r>
      <w:r w:rsidR="203F0544" w:rsidRPr="33F8DE2A">
        <w:rPr>
          <w:rFonts w:ascii="Arial" w:eastAsia="Arial" w:hAnsi="Arial" w:cs="Arial"/>
          <w:lang w:val="es-ES"/>
        </w:rPr>
        <w:t xml:space="preserve"> de 2024</w:t>
      </w:r>
      <w:r w:rsidRPr="33F8DE2A">
        <w:rPr>
          <w:rFonts w:ascii="Arial" w:eastAsia="Arial" w:hAnsi="Arial" w:cs="Arial"/>
          <w:lang w:val="es-ES"/>
        </w:rPr>
        <w:t xml:space="preserve">, </w:t>
      </w:r>
      <w:r w:rsidR="1C36B22C" w:rsidRPr="33F8DE2A">
        <w:rPr>
          <w:rFonts w:ascii="Arial" w:eastAsia="Arial" w:hAnsi="Arial" w:cs="Arial"/>
          <w:lang w:val="es-ES"/>
        </w:rPr>
        <w:t xml:space="preserve">la Asamblea General de las Naciones Unidas eligió a México como </w:t>
      </w:r>
      <w:r w:rsidR="5C79D8E6" w:rsidRPr="33F8DE2A">
        <w:rPr>
          <w:rFonts w:ascii="Arial" w:eastAsia="Arial" w:hAnsi="Arial" w:cs="Arial"/>
          <w:lang w:val="es-ES"/>
        </w:rPr>
        <w:t xml:space="preserve">nuevo miembro del Consejo de Derechos Humanos para el periodo 2025-2027. </w:t>
      </w:r>
      <w:r w:rsidR="00D3515E" w:rsidRPr="33F8DE2A">
        <w:rPr>
          <w:rFonts w:ascii="Arial" w:eastAsia="Arial" w:hAnsi="Arial" w:cs="Arial"/>
          <w:lang w:val="es-ES"/>
        </w:rPr>
        <w:t xml:space="preserve"> El Consejo está formado por 47 miembros que presentan cada año a la Asamblea General un informe sobre la situación de los derechos en el mundo.</w:t>
      </w:r>
      <w:r w:rsidR="3FF62EF1" w:rsidRPr="33F8DE2A">
        <w:rPr>
          <w:rFonts w:ascii="Arial" w:eastAsia="Arial" w:hAnsi="Arial" w:cs="Arial"/>
          <w:lang w:val="es-ES"/>
        </w:rPr>
        <w:t xml:space="preserve"> (</w:t>
      </w:r>
      <w:r w:rsidR="005F64D0" w:rsidRPr="33F8DE2A">
        <w:rPr>
          <w:rFonts w:ascii="Arial" w:eastAsia="Arial" w:hAnsi="Arial" w:cs="Arial"/>
          <w:lang w:val="es-ES"/>
        </w:rPr>
        <w:t xml:space="preserve">Consulta más información de la noticia en el siguiente enlace: </w:t>
      </w:r>
      <w:hyperlink r:id="rId26">
        <w:r w:rsidR="005F64D0" w:rsidRPr="33F8DE2A">
          <w:rPr>
            <w:rStyle w:val="Hipervnculo"/>
            <w:rFonts w:ascii="Arial" w:eastAsia="Arial" w:hAnsi="Arial" w:cs="Arial"/>
            <w:lang w:val="es-ES"/>
          </w:rPr>
          <w:t>https://mision.sre.gob.mx/onu/index.php/sdp/boletines-de-prensa/2396-9-de-octubre-2024-mexico-es-electo-al-consejo-de-derechos-humanos-periodo-2025-2027</w:t>
        </w:r>
      </w:hyperlink>
      <w:r w:rsidR="2883D417" w:rsidRPr="33F8DE2A">
        <w:rPr>
          <w:rFonts w:ascii="Arial" w:eastAsia="Arial" w:hAnsi="Arial" w:cs="Arial"/>
          <w:lang w:val="es-ES"/>
        </w:rPr>
        <w:t>).</w:t>
      </w:r>
    </w:p>
    <w:p w14:paraId="425FF136" w14:textId="6F543F74" w:rsidR="005F64D0" w:rsidRPr="005F64D0" w:rsidRDefault="005F64D0" w:rsidP="6E83B9AD">
      <w:pPr>
        <w:pStyle w:val="Prrafodelista"/>
        <w:spacing w:line="240" w:lineRule="auto"/>
        <w:rPr>
          <w:rFonts w:ascii="Arial" w:eastAsia="Arial" w:hAnsi="Arial" w:cs="Arial"/>
          <w:lang w:val="es-ES"/>
        </w:rPr>
      </w:pPr>
    </w:p>
    <w:p w14:paraId="41A1A95D" w14:textId="3B023BBD" w:rsidR="005F64D0" w:rsidRPr="005F64D0" w:rsidRDefault="4DF47892" w:rsidP="6E83B9AD">
      <w:pPr>
        <w:pStyle w:val="Prrafodelista"/>
        <w:numPr>
          <w:ilvl w:val="0"/>
          <w:numId w:val="4"/>
        </w:numPr>
        <w:spacing w:line="240" w:lineRule="auto"/>
        <w:rPr>
          <w:rFonts w:ascii="Arial" w:eastAsia="Arial" w:hAnsi="Arial" w:cs="Arial"/>
          <w:lang w:val="es-ES"/>
        </w:rPr>
      </w:pPr>
      <w:r w:rsidRPr="33F8DE2A">
        <w:rPr>
          <w:rFonts w:ascii="Arial" w:eastAsia="Arial" w:hAnsi="Arial" w:cs="Arial"/>
          <w:lang w:val="es-ES"/>
        </w:rPr>
        <w:t>En noviembre de 2024, México presentó</w:t>
      </w:r>
      <w:r w:rsidR="00D3515E" w:rsidRPr="33F8DE2A">
        <w:rPr>
          <w:rFonts w:ascii="Arial" w:eastAsia="Arial" w:hAnsi="Arial" w:cs="Arial"/>
          <w:lang w:val="es-ES"/>
        </w:rPr>
        <w:t xml:space="preserve"> su décimo informe ante </w:t>
      </w:r>
      <w:r w:rsidR="769C8351" w:rsidRPr="4156087A">
        <w:rPr>
          <w:rFonts w:ascii="Arial" w:eastAsia="Arial" w:hAnsi="Arial" w:cs="Arial"/>
          <w:lang w:val="es-ES"/>
        </w:rPr>
        <w:t xml:space="preserve">el </w:t>
      </w:r>
      <w:r w:rsidR="00D3515E" w:rsidRPr="33F8DE2A">
        <w:rPr>
          <w:rFonts w:ascii="Arial" w:eastAsia="Arial" w:hAnsi="Arial" w:cs="Arial"/>
          <w:lang w:val="es-ES"/>
        </w:rPr>
        <w:t xml:space="preserve">Comité para la Eliminación de la Discriminación contra la Mujer (CEDAW). </w:t>
      </w:r>
      <w:r w:rsidR="1F72BB86" w:rsidRPr="33F8DE2A">
        <w:rPr>
          <w:rFonts w:ascii="Arial" w:eastAsia="Arial" w:hAnsi="Arial" w:cs="Arial"/>
          <w:lang w:val="es-ES"/>
        </w:rPr>
        <w:t>En este</w:t>
      </w:r>
      <w:r w:rsidR="00D3515E" w:rsidRPr="33F8DE2A">
        <w:rPr>
          <w:rFonts w:ascii="Arial" w:eastAsia="Arial" w:hAnsi="Arial" w:cs="Arial"/>
          <w:lang w:val="es-ES"/>
        </w:rPr>
        <w:t xml:space="preserve"> se presentan las diversas acciones que ha tomado el Estado para garantizar los derechos de las mujeres y las niñas, asimismo se reconocen los retos sobre </w:t>
      </w:r>
      <w:r w:rsidR="5C6CD7B3" w:rsidRPr="4156087A">
        <w:rPr>
          <w:rFonts w:ascii="Arial" w:eastAsia="Arial" w:hAnsi="Arial" w:cs="Arial"/>
          <w:lang w:val="es-ES"/>
        </w:rPr>
        <w:t>la</w:t>
      </w:r>
      <w:r w:rsidR="00D3515E" w:rsidRPr="4156087A">
        <w:rPr>
          <w:rFonts w:ascii="Arial" w:eastAsia="Arial" w:hAnsi="Arial" w:cs="Arial"/>
          <w:lang w:val="es-ES"/>
        </w:rPr>
        <w:t xml:space="preserve"> </w:t>
      </w:r>
      <w:r w:rsidR="00D3515E" w:rsidRPr="33F8DE2A">
        <w:rPr>
          <w:rFonts w:ascii="Arial" w:eastAsia="Arial" w:hAnsi="Arial" w:cs="Arial"/>
          <w:lang w:val="es-ES"/>
        </w:rPr>
        <w:t>igualdad de género en el país en los diversos niveles y poderes de gobierno.</w:t>
      </w:r>
      <w:r w:rsidR="79789A9C" w:rsidRPr="33F8DE2A">
        <w:rPr>
          <w:rFonts w:ascii="Arial" w:eastAsia="Arial" w:hAnsi="Arial" w:cs="Arial"/>
          <w:lang w:val="es-ES"/>
        </w:rPr>
        <w:t xml:space="preserve"> (</w:t>
      </w:r>
      <w:r w:rsidR="005F64D0" w:rsidRPr="33F8DE2A">
        <w:rPr>
          <w:rFonts w:ascii="Arial" w:eastAsia="Arial" w:hAnsi="Arial" w:cs="Arial"/>
          <w:lang w:val="es-ES"/>
        </w:rPr>
        <w:t xml:space="preserve">Consulta más información de la noticia en el siguiente enlace: </w:t>
      </w:r>
      <w:hyperlink r:id="rId27">
        <w:r w:rsidR="005F64D0" w:rsidRPr="33F8DE2A">
          <w:rPr>
            <w:rStyle w:val="Hipervnculo"/>
            <w:rFonts w:ascii="Arial" w:eastAsia="Arial" w:hAnsi="Arial" w:cs="Arial"/>
            <w:lang w:val="es-ES"/>
          </w:rPr>
          <w:t>https://tbinternet.ohchr.org/_layouts/15/treatybodyexternal/Download.aspx?symbolno=CEDAW%2FC%2FMEX%2F10&amp;Lang=es</w:t>
        </w:r>
      </w:hyperlink>
      <w:r w:rsidR="11C5B48E" w:rsidRPr="33F8DE2A">
        <w:rPr>
          <w:rFonts w:ascii="Arial" w:eastAsia="Arial" w:hAnsi="Arial" w:cs="Arial"/>
          <w:lang w:val="es-ES"/>
        </w:rPr>
        <w:t>).</w:t>
      </w:r>
    </w:p>
    <w:p w14:paraId="714D4DBE" w14:textId="0F247C59" w:rsidR="005F64D0" w:rsidRPr="005F64D0" w:rsidRDefault="005F64D0" w:rsidP="6E83B9AD">
      <w:pPr>
        <w:pStyle w:val="Prrafodelista"/>
        <w:spacing w:line="240" w:lineRule="auto"/>
        <w:rPr>
          <w:rFonts w:ascii="Arial" w:eastAsia="Arial" w:hAnsi="Arial" w:cs="Arial"/>
          <w:lang w:val="es-ES"/>
        </w:rPr>
      </w:pPr>
    </w:p>
    <w:p w14:paraId="74208C5E" w14:textId="734345BD" w:rsidR="005F64D0" w:rsidRPr="005F64D0" w:rsidRDefault="2A2A4249" w:rsidP="6E83B9AD">
      <w:pPr>
        <w:pStyle w:val="Prrafodelista"/>
        <w:numPr>
          <w:ilvl w:val="0"/>
          <w:numId w:val="4"/>
        </w:numPr>
        <w:spacing w:line="240" w:lineRule="auto"/>
        <w:rPr>
          <w:rFonts w:ascii="Arial" w:eastAsia="Arial" w:hAnsi="Arial" w:cs="Arial"/>
          <w:lang w:val="es-ES"/>
        </w:rPr>
      </w:pPr>
      <w:r w:rsidRPr="33F8DE2A">
        <w:rPr>
          <w:rFonts w:ascii="Arial" w:eastAsia="Arial" w:hAnsi="Arial" w:cs="Arial"/>
          <w:lang w:val="es-ES"/>
        </w:rPr>
        <w:t>En septiembre de 2024, e</w:t>
      </w:r>
      <w:r w:rsidR="00D3515E" w:rsidRPr="33F8DE2A">
        <w:rPr>
          <w:rFonts w:ascii="Arial" w:eastAsia="Arial" w:hAnsi="Arial" w:cs="Arial"/>
          <w:lang w:val="es-ES"/>
        </w:rPr>
        <w:t>xpertos y expertas de la ONU expresa</w:t>
      </w:r>
      <w:r w:rsidR="0922D96E" w:rsidRPr="33F8DE2A">
        <w:rPr>
          <w:rFonts w:ascii="Arial" w:eastAsia="Arial" w:hAnsi="Arial" w:cs="Arial"/>
          <w:lang w:val="es-ES"/>
        </w:rPr>
        <w:t>ro</w:t>
      </w:r>
      <w:r w:rsidR="00D3515E" w:rsidRPr="33F8DE2A">
        <w:rPr>
          <w:rFonts w:ascii="Arial" w:eastAsia="Arial" w:hAnsi="Arial" w:cs="Arial"/>
          <w:lang w:val="es-ES"/>
        </w:rPr>
        <w:t xml:space="preserve">n </w:t>
      </w:r>
      <w:r w:rsidR="7F36D4C1" w:rsidRPr="05BD845E">
        <w:rPr>
          <w:rFonts w:ascii="Arial" w:eastAsia="Arial" w:hAnsi="Arial" w:cs="Arial"/>
          <w:lang w:val="es-ES"/>
        </w:rPr>
        <w:t>su</w:t>
      </w:r>
      <w:r w:rsidR="5BFE2BD0" w:rsidRPr="05BD845E">
        <w:rPr>
          <w:rFonts w:ascii="Arial" w:eastAsia="Arial" w:hAnsi="Arial" w:cs="Arial"/>
          <w:lang w:val="es-ES"/>
        </w:rPr>
        <w:t xml:space="preserve"> </w:t>
      </w:r>
      <w:r w:rsidR="00D3515E" w:rsidRPr="33F8DE2A">
        <w:rPr>
          <w:rFonts w:ascii="Arial" w:eastAsia="Arial" w:hAnsi="Arial" w:cs="Arial"/>
          <w:lang w:val="es-ES"/>
        </w:rPr>
        <w:t>preocupación por</w:t>
      </w:r>
      <w:r w:rsidR="5BFE2BD0" w:rsidRPr="05BD845E">
        <w:rPr>
          <w:rFonts w:ascii="Arial" w:eastAsia="Arial" w:hAnsi="Arial" w:cs="Arial"/>
          <w:lang w:val="es-ES"/>
        </w:rPr>
        <w:t xml:space="preserve"> </w:t>
      </w:r>
      <w:r w:rsidR="5B85063D" w:rsidRPr="05BD845E">
        <w:rPr>
          <w:rFonts w:ascii="Arial" w:eastAsia="Arial" w:hAnsi="Arial" w:cs="Arial"/>
          <w:lang w:val="es-ES"/>
        </w:rPr>
        <w:t>la</w:t>
      </w:r>
      <w:r w:rsidR="00D3515E" w:rsidRPr="33F8DE2A">
        <w:rPr>
          <w:rFonts w:ascii="Arial" w:eastAsia="Arial" w:hAnsi="Arial" w:cs="Arial"/>
          <w:lang w:val="es-ES"/>
        </w:rPr>
        <w:t xml:space="preserve"> propuesta de reforma constitucional que implicaría un mayor rol de las Fuerzas Armadas en materia de seguridad pública. </w:t>
      </w:r>
      <w:r w:rsidR="35175570" w:rsidRPr="33F8DE2A">
        <w:rPr>
          <w:rFonts w:ascii="Arial" w:eastAsia="Arial" w:hAnsi="Arial" w:cs="Arial"/>
          <w:lang w:val="es-ES"/>
        </w:rPr>
        <w:t>S</w:t>
      </w:r>
      <w:r w:rsidR="00D3515E" w:rsidRPr="33F8DE2A">
        <w:rPr>
          <w:rFonts w:ascii="Arial" w:eastAsia="Arial" w:hAnsi="Arial" w:cs="Arial"/>
          <w:lang w:val="es-ES"/>
        </w:rPr>
        <w:t>eñalaron que, esto puede aumentar el riesgo de abusos contra los derechos humanos, incluidas la tortura, la detención arbitraria, las desapariciones forzadas y las ejecuciones extrajudiciales. Señalaron que</w:t>
      </w:r>
      <w:r w:rsidR="46B02B3E" w:rsidRPr="05BD845E">
        <w:rPr>
          <w:rFonts w:ascii="Arial" w:eastAsia="Arial" w:hAnsi="Arial" w:cs="Arial"/>
          <w:lang w:val="es-ES"/>
        </w:rPr>
        <w:t>,</w:t>
      </w:r>
      <w:r w:rsidR="00D3515E" w:rsidRPr="33F8DE2A">
        <w:rPr>
          <w:rFonts w:ascii="Arial" w:eastAsia="Arial" w:hAnsi="Arial" w:cs="Arial"/>
          <w:lang w:val="es-ES"/>
        </w:rPr>
        <w:t xml:space="preserve"> “De aprobarse, México contravendría numerosas recomendaciones formuladas por órganos de tratados y procedimientos especiales de Naciones Unidas que, desde 1999, han señalado la necesidad de asegurar que las labores de seguridad pública sean realizadas por fuerzas de seguridad civiles”</w:t>
      </w:r>
      <w:r w:rsidR="1AA982C9" w:rsidRPr="33F8DE2A">
        <w:rPr>
          <w:rFonts w:ascii="Arial" w:eastAsia="Arial" w:hAnsi="Arial" w:cs="Arial"/>
          <w:lang w:val="es-ES"/>
        </w:rPr>
        <w:t>. (</w:t>
      </w:r>
      <w:r w:rsidR="005F64D0" w:rsidRPr="33F8DE2A">
        <w:rPr>
          <w:rFonts w:ascii="Arial" w:eastAsia="Arial" w:hAnsi="Arial" w:cs="Arial"/>
          <w:lang w:val="es-ES"/>
        </w:rPr>
        <w:t xml:space="preserve">Consulta más información de la noticia en el siguiente enlace: </w:t>
      </w:r>
      <w:hyperlink r:id="rId28">
        <w:r w:rsidR="005F64D0" w:rsidRPr="33F8DE2A">
          <w:rPr>
            <w:rStyle w:val="Hipervnculo"/>
            <w:rFonts w:ascii="Arial" w:eastAsia="Arial" w:hAnsi="Arial" w:cs="Arial"/>
            <w:lang w:val="es-ES"/>
          </w:rPr>
          <w:t>https://www.ohchr.org/es/press-releases/2024/09/mexico-un-experts-concerned-over-upcoming-constitutional-reform-proposal</w:t>
        </w:r>
      </w:hyperlink>
      <w:r w:rsidR="529E396D" w:rsidRPr="33F8DE2A">
        <w:rPr>
          <w:rFonts w:ascii="Arial" w:eastAsia="Arial" w:hAnsi="Arial" w:cs="Arial"/>
          <w:lang w:val="es-ES"/>
        </w:rPr>
        <w:t>).</w:t>
      </w:r>
    </w:p>
    <w:p w14:paraId="0D7B2282" w14:textId="754A1D60" w:rsidR="570D9321" w:rsidRDefault="570D9321" w:rsidP="6E83B9AD">
      <w:pPr>
        <w:pStyle w:val="Prrafodelista"/>
        <w:spacing w:line="240" w:lineRule="auto"/>
        <w:rPr>
          <w:rFonts w:ascii="Arial" w:eastAsia="Arial" w:hAnsi="Arial" w:cs="Arial"/>
          <w:lang w:val="es-ES"/>
        </w:rPr>
      </w:pPr>
    </w:p>
    <w:p w14:paraId="4C5A7D6E" w14:textId="3B2E9F35" w:rsidR="005F64D0" w:rsidRPr="005F64D0" w:rsidRDefault="00D3515E" w:rsidP="6E83B9AD">
      <w:pPr>
        <w:pStyle w:val="Prrafodelista"/>
        <w:numPr>
          <w:ilvl w:val="0"/>
          <w:numId w:val="4"/>
        </w:numPr>
        <w:spacing w:line="240" w:lineRule="auto"/>
        <w:rPr>
          <w:rFonts w:ascii="Arial" w:eastAsia="Arial" w:hAnsi="Arial" w:cs="Arial"/>
          <w:lang w:val="es-ES"/>
        </w:rPr>
      </w:pPr>
      <w:r w:rsidRPr="33F8DE2A">
        <w:rPr>
          <w:rFonts w:ascii="Arial" w:eastAsia="Arial" w:hAnsi="Arial" w:cs="Arial"/>
          <w:lang w:val="es-ES"/>
        </w:rPr>
        <w:t xml:space="preserve">La Comisión Interamericana de Derechos Humanos convocó a una audiencia pública presencial para el 12 de noviembre de 2024, para tratar cuestiones referentes a la reforma judicial en México. </w:t>
      </w:r>
      <w:r w:rsidR="53B31C85" w:rsidRPr="33F8DE2A">
        <w:rPr>
          <w:rFonts w:ascii="Arial" w:eastAsia="Arial" w:hAnsi="Arial" w:cs="Arial"/>
          <w:lang w:val="es-ES"/>
        </w:rPr>
        <w:t>(</w:t>
      </w:r>
      <w:r w:rsidR="005F64D0" w:rsidRPr="33F8DE2A">
        <w:rPr>
          <w:rFonts w:ascii="Arial" w:eastAsia="Arial" w:hAnsi="Arial" w:cs="Arial"/>
          <w:lang w:val="es-ES"/>
        </w:rPr>
        <w:t xml:space="preserve">Consulta más </w:t>
      </w:r>
      <w:r w:rsidR="005F64D0" w:rsidRPr="33F8DE2A">
        <w:rPr>
          <w:rFonts w:ascii="Arial" w:eastAsia="Arial" w:hAnsi="Arial" w:cs="Arial"/>
          <w:lang w:val="es-ES"/>
        </w:rPr>
        <w:lastRenderedPageBreak/>
        <w:t xml:space="preserve">información de la noticia en el siguiente enlace: </w:t>
      </w:r>
      <w:hyperlink r:id="rId29">
        <w:r w:rsidR="005F64D0" w:rsidRPr="33F8DE2A">
          <w:rPr>
            <w:rStyle w:val="Hipervnculo"/>
            <w:rFonts w:ascii="Arial" w:eastAsia="Arial" w:hAnsi="Arial" w:cs="Arial"/>
            <w:lang w:val="es-ES"/>
          </w:rPr>
          <w:t>https://x.com/jufed_org/status/1841164500331823590</w:t>
        </w:r>
      </w:hyperlink>
      <w:r w:rsidR="4EDEDA8E" w:rsidRPr="33F8DE2A">
        <w:rPr>
          <w:rFonts w:ascii="Arial" w:eastAsia="Arial" w:hAnsi="Arial" w:cs="Arial"/>
          <w:lang w:val="es-ES"/>
        </w:rPr>
        <w:t>).</w:t>
      </w:r>
    </w:p>
    <w:p w14:paraId="728F47B1" w14:textId="7FF3B44F" w:rsidR="570D9321" w:rsidRDefault="570D9321" w:rsidP="6E83B9AD">
      <w:pPr>
        <w:pStyle w:val="Prrafodelista"/>
        <w:spacing w:line="240" w:lineRule="auto"/>
        <w:rPr>
          <w:rFonts w:ascii="Arial" w:eastAsia="Arial" w:hAnsi="Arial" w:cs="Arial"/>
          <w:lang w:val="es-ES"/>
        </w:rPr>
      </w:pPr>
    </w:p>
    <w:p w14:paraId="70635F58" w14:textId="2E819AC5" w:rsidR="005F64D0" w:rsidRPr="005F64D0" w:rsidRDefault="2DDB34B9" w:rsidP="6E83B9AD">
      <w:pPr>
        <w:pStyle w:val="Prrafodelista"/>
        <w:numPr>
          <w:ilvl w:val="0"/>
          <w:numId w:val="4"/>
        </w:numPr>
        <w:spacing w:line="240" w:lineRule="auto"/>
        <w:rPr>
          <w:rFonts w:ascii="Arial" w:eastAsia="Arial" w:hAnsi="Arial" w:cs="Arial"/>
          <w:lang w:val="es-ES"/>
        </w:rPr>
      </w:pPr>
      <w:r w:rsidRPr="33F8DE2A">
        <w:rPr>
          <w:rFonts w:ascii="Arial" w:eastAsia="Arial" w:hAnsi="Arial" w:cs="Arial"/>
          <w:lang w:val="es-ES"/>
        </w:rPr>
        <w:t>En octubre de 2024, l</w:t>
      </w:r>
      <w:r w:rsidR="00D3515E" w:rsidRPr="33F8DE2A">
        <w:rPr>
          <w:rFonts w:ascii="Arial" w:eastAsia="Arial" w:hAnsi="Arial" w:cs="Arial"/>
          <w:lang w:val="es-ES"/>
        </w:rPr>
        <w:t>a Comisión Interamericana de Derechos Humanos conden</w:t>
      </w:r>
      <w:r w:rsidR="4A6AA381" w:rsidRPr="33F8DE2A">
        <w:rPr>
          <w:rFonts w:ascii="Arial" w:eastAsia="Arial" w:hAnsi="Arial" w:cs="Arial"/>
          <w:lang w:val="es-ES"/>
        </w:rPr>
        <w:t>ó</w:t>
      </w:r>
      <w:r w:rsidR="00D3515E" w:rsidRPr="33F8DE2A">
        <w:rPr>
          <w:rFonts w:ascii="Arial" w:eastAsia="Arial" w:hAnsi="Arial" w:cs="Arial"/>
          <w:lang w:val="es-ES"/>
        </w:rPr>
        <w:t xml:space="preserve"> el asesinato de seis personas migrantes durante un operativo del Ejército mexicano.</w:t>
      </w:r>
      <w:r w:rsidR="00D3515E" w:rsidRPr="33F8DE2A">
        <w:rPr>
          <w:rFonts w:ascii="Arial" w:eastAsia="Arial" w:hAnsi="Arial" w:cs="Arial"/>
          <w:b/>
          <w:lang w:val="es-ES"/>
        </w:rPr>
        <w:t xml:space="preserve"> </w:t>
      </w:r>
      <w:r w:rsidR="00D3515E" w:rsidRPr="33F8DE2A">
        <w:rPr>
          <w:rFonts w:ascii="Arial" w:eastAsia="Arial" w:hAnsi="Arial" w:cs="Arial"/>
          <w:lang w:val="es-ES"/>
        </w:rPr>
        <w:t xml:space="preserve">La CIDH exhortó a México a abordar la situación estructural de seguridad ciudadana, en particular, la que afecta a las personas migrantes, así como a investigar, sancionar y reparar de manera integral a las víctimas y familiares. </w:t>
      </w:r>
      <w:r w:rsidR="435E9078" w:rsidRPr="33F8DE2A">
        <w:rPr>
          <w:rFonts w:ascii="Arial" w:eastAsia="Arial" w:hAnsi="Arial" w:cs="Arial"/>
          <w:lang w:val="es-ES"/>
        </w:rPr>
        <w:t>(</w:t>
      </w:r>
      <w:r w:rsidR="005F64D0" w:rsidRPr="33F8DE2A">
        <w:rPr>
          <w:rFonts w:ascii="Arial" w:eastAsia="Arial" w:hAnsi="Arial" w:cs="Arial"/>
          <w:lang w:val="es-ES"/>
        </w:rPr>
        <w:t xml:space="preserve">Consulta más información de la noticia en el siguiente enlace: </w:t>
      </w:r>
      <w:hyperlink r:id="rId30">
        <w:r w:rsidR="005F64D0" w:rsidRPr="33F8DE2A">
          <w:rPr>
            <w:rStyle w:val="Hipervnculo"/>
            <w:rFonts w:ascii="Arial" w:eastAsia="Arial" w:hAnsi="Arial" w:cs="Arial"/>
            <w:lang w:val="es-ES"/>
          </w:rPr>
          <w:t>https://x.com/CIDH/status/1843296189175021712t=F7s2tH4ngPO_n8cZerB09Q&amp;s=08</w:t>
        </w:r>
      </w:hyperlink>
      <w:r w:rsidR="6B973514" w:rsidRPr="33F8DE2A">
        <w:rPr>
          <w:rFonts w:ascii="Arial" w:eastAsia="Arial" w:hAnsi="Arial" w:cs="Arial"/>
          <w:lang w:val="es-ES"/>
        </w:rPr>
        <w:t>).</w:t>
      </w:r>
    </w:p>
    <w:p w14:paraId="7ADA2868" w14:textId="24A1A321" w:rsidR="570D9321" w:rsidRDefault="570D9321" w:rsidP="6E83B9AD">
      <w:pPr>
        <w:pStyle w:val="Prrafodelista"/>
        <w:spacing w:line="240" w:lineRule="auto"/>
        <w:rPr>
          <w:rFonts w:ascii="Arial" w:eastAsia="Arial" w:hAnsi="Arial" w:cs="Arial"/>
          <w:lang w:val="es-ES"/>
        </w:rPr>
      </w:pPr>
    </w:p>
    <w:p w14:paraId="66CE6D4E" w14:textId="409C5A78" w:rsidR="005F64D0" w:rsidRPr="005F64D0" w:rsidRDefault="00D3515E" w:rsidP="6E83B9AD">
      <w:pPr>
        <w:pStyle w:val="Prrafodelista"/>
        <w:numPr>
          <w:ilvl w:val="0"/>
          <w:numId w:val="4"/>
        </w:numPr>
        <w:spacing w:line="240" w:lineRule="auto"/>
        <w:rPr>
          <w:rFonts w:ascii="Arial" w:eastAsia="Arial" w:hAnsi="Arial" w:cs="Arial"/>
          <w:lang w:val="es-ES"/>
        </w:rPr>
      </w:pPr>
      <w:r w:rsidRPr="599D23F4">
        <w:rPr>
          <w:rFonts w:ascii="Arial" w:eastAsia="Arial" w:hAnsi="Arial" w:cs="Arial"/>
          <w:lang w:val="es-ES"/>
        </w:rPr>
        <w:t>A</w:t>
      </w:r>
      <w:r w:rsidR="4C8B4141" w:rsidRPr="599D23F4">
        <w:rPr>
          <w:rFonts w:ascii="Arial" w:eastAsia="Arial" w:hAnsi="Arial" w:cs="Arial"/>
          <w:lang w:val="es-ES"/>
        </w:rPr>
        <w:t xml:space="preserve"> través del informe A/HRC/WG.11/41/1</w:t>
      </w:r>
      <w:r w:rsidR="730000BC" w:rsidRPr="599D23F4">
        <w:rPr>
          <w:rFonts w:ascii="Arial" w:eastAsia="Arial" w:hAnsi="Arial" w:cs="Arial"/>
          <w:lang w:val="es-ES"/>
        </w:rPr>
        <w:t xml:space="preserve"> (enlace aquí: </w:t>
      </w:r>
      <w:hyperlink r:id="rId31">
        <w:r w:rsidR="003154C7" w:rsidRPr="599D23F4">
          <w:rPr>
            <w:rStyle w:val="Hipervnculo"/>
            <w:rFonts w:ascii="Arial" w:eastAsia="Arial" w:hAnsi="Arial" w:cs="Arial"/>
            <w:lang w:val="es-ES"/>
          </w:rPr>
          <w:t>https://www.ohchr.org/en/documents/tools-and-resources/ahrcwg11411-conscientious-objection-abortion-key-considerations</w:t>
        </w:r>
      </w:hyperlink>
      <w:r w:rsidR="4C8B4141" w:rsidRPr="587B6B0E">
        <w:rPr>
          <w:rFonts w:ascii="Arial" w:eastAsia="Arial" w:hAnsi="Arial" w:cs="Arial"/>
          <w:lang w:val="es-ES"/>
        </w:rPr>
        <w:t>,</w:t>
      </w:r>
      <w:r w:rsidR="4C8B4141" w:rsidRPr="33F8DE2A">
        <w:rPr>
          <w:rFonts w:ascii="Arial" w:eastAsia="Arial" w:hAnsi="Arial" w:cs="Arial"/>
          <w:lang w:val="es-ES"/>
        </w:rPr>
        <w:t xml:space="preserve"> </w:t>
      </w:r>
      <w:r w:rsidR="77D0FDCA" w:rsidRPr="33F8DE2A">
        <w:rPr>
          <w:rFonts w:ascii="Arial" w:eastAsia="Arial" w:hAnsi="Arial" w:cs="Arial"/>
          <w:lang w:val="es-ES"/>
        </w:rPr>
        <w:t xml:space="preserve">el Grupo de Trabajo sobre la discriminación contra las mujeres y niñas </w:t>
      </w:r>
      <w:r w:rsidR="4C8B4141" w:rsidRPr="33F8DE2A">
        <w:rPr>
          <w:rFonts w:ascii="Arial" w:eastAsia="Arial" w:hAnsi="Arial" w:cs="Arial"/>
          <w:lang w:val="es-ES"/>
        </w:rPr>
        <w:t xml:space="preserve">determinó que la objeción de conciencia al aborto no puede impedir el acceso al derecho a la salud. </w:t>
      </w:r>
      <w:r w:rsidR="0E496BC7" w:rsidRPr="33F8DE2A">
        <w:rPr>
          <w:rFonts w:ascii="Arial" w:eastAsia="Arial" w:hAnsi="Arial" w:cs="Arial"/>
          <w:lang w:val="es-ES"/>
        </w:rPr>
        <w:t>As</w:t>
      </w:r>
      <w:r w:rsidR="002505C3">
        <w:rPr>
          <w:rFonts w:ascii="Arial" w:eastAsia="Arial" w:hAnsi="Arial" w:cs="Arial"/>
          <w:lang w:val="es-ES"/>
        </w:rPr>
        <w:t>i</w:t>
      </w:r>
      <w:r w:rsidR="0E496BC7" w:rsidRPr="33F8DE2A">
        <w:rPr>
          <w:rFonts w:ascii="Arial" w:eastAsia="Arial" w:hAnsi="Arial" w:cs="Arial"/>
          <w:lang w:val="es-ES"/>
        </w:rPr>
        <w:t xml:space="preserve">mismo, </w:t>
      </w:r>
      <w:r w:rsidRPr="33F8DE2A">
        <w:rPr>
          <w:rFonts w:ascii="Arial" w:eastAsia="Arial" w:hAnsi="Arial" w:cs="Arial"/>
          <w:lang w:val="es-ES"/>
        </w:rPr>
        <w:t>identificó la Acción de Inconstitucionalidad 54/2018 de la Suprema Corte de Justicia</w:t>
      </w:r>
      <w:r w:rsidR="7739F958" w:rsidRPr="23B0D9C3">
        <w:rPr>
          <w:rFonts w:ascii="Arial" w:eastAsia="Arial" w:hAnsi="Arial" w:cs="Arial"/>
          <w:lang w:val="es-ES"/>
        </w:rPr>
        <w:t xml:space="preserve"> (</w:t>
      </w:r>
      <w:r w:rsidR="198DC922" w:rsidRPr="05A0A611">
        <w:rPr>
          <w:rFonts w:ascii="Arial" w:eastAsia="Arial" w:hAnsi="Arial" w:cs="Arial"/>
          <w:lang w:val="es-ES"/>
        </w:rPr>
        <w:t xml:space="preserve">Para consultar el buscador de sentencias y datos de expedientes de la SCJN en el que se encuentra este documento, enlace aquí: </w:t>
      </w:r>
      <w:r w:rsidR="198DC922" w:rsidRPr="05A0A611">
        <w:rPr>
          <w:rFonts w:ascii="Arial" w:eastAsia="Arial" w:hAnsi="Arial" w:cs="Arial"/>
          <w:color w:val="333333"/>
          <w:sz w:val="18"/>
          <w:szCs w:val="18"/>
          <w:lang w:val="es-ES"/>
        </w:rPr>
        <w:t xml:space="preserve"> </w:t>
      </w:r>
      <w:hyperlink r:id="rId32">
        <w:r w:rsidR="7739F958" w:rsidRPr="23B0D9C3">
          <w:rPr>
            <w:rStyle w:val="Hipervnculo"/>
            <w:rFonts w:ascii="Arial" w:eastAsia="Arial" w:hAnsi="Arial" w:cs="Arial"/>
            <w:lang w:val="es-ES"/>
          </w:rPr>
          <w:t>https://www2.scjn.gob.mx/ConsultasTematica/Detalle/238286</w:t>
        </w:r>
      </w:hyperlink>
      <w:r w:rsidR="7739F958" w:rsidRPr="277F1D22">
        <w:rPr>
          <w:rFonts w:ascii="Arial" w:eastAsia="Arial" w:hAnsi="Arial" w:cs="Arial"/>
          <w:lang w:val="es-ES"/>
        </w:rPr>
        <w:t>)</w:t>
      </w:r>
      <w:r w:rsidRPr="277F1D22">
        <w:rPr>
          <w:rFonts w:ascii="Arial" w:eastAsia="Arial" w:hAnsi="Arial" w:cs="Arial"/>
          <w:lang w:val="es-ES"/>
        </w:rPr>
        <w:t>,</w:t>
      </w:r>
      <w:r w:rsidRPr="33F8DE2A">
        <w:rPr>
          <w:rFonts w:ascii="Arial" w:eastAsia="Arial" w:hAnsi="Arial" w:cs="Arial"/>
          <w:lang w:val="es-ES"/>
        </w:rPr>
        <w:t xml:space="preserve"> como un cambio prometedor sobre los límites a la objeción de consciencia en el contexto de la asistencia relacionada con el aborto.</w:t>
      </w:r>
    </w:p>
    <w:p w14:paraId="0634A2BF" w14:textId="154A0B4F" w:rsidR="570D9321" w:rsidRDefault="570D9321" w:rsidP="6E83B9AD">
      <w:pPr>
        <w:spacing w:line="240" w:lineRule="auto"/>
        <w:rPr>
          <w:rFonts w:ascii="Arial" w:eastAsia="Arial" w:hAnsi="Arial" w:cs="Arial"/>
          <w:lang w:val="es-ES"/>
        </w:rPr>
      </w:pPr>
    </w:p>
    <w:p w14:paraId="7A2EBF3E" w14:textId="2D50EAD2" w:rsidR="00D3515E" w:rsidRDefault="2F001E71" w:rsidP="6E83B9AD">
      <w:pPr>
        <w:pStyle w:val="Prrafodelista"/>
        <w:numPr>
          <w:ilvl w:val="0"/>
          <w:numId w:val="4"/>
        </w:numPr>
        <w:spacing w:line="240" w:lineRule="auto"/>
        <w:rPr>
          <w:rFonts w:ascii="Arial" w:eastAsia="Arial" w:hAnsi="Arial" w:cs="Arial"/>
          <w:lang w:val="es-ES"/>
        </w:rPr>
      </w:pPr>
      <w:r w:rsidRPr="6A295DA7">
        <w:rPr>
          <w:rFonts w:ascii="Arial" w:eastAsia="Arial" w:hAnsi="Arial" w:cs="Arial"/>
          <w:lang w:val="es-ES"/>
        </w:rPr>
        <w:t xml:space="preserve">En la presentación de su Informe Anual 2023, UNICEF propuso seis estrategias clave mediante las cuales México puede colaborar en la erradicación de la pobreza infantil a nivel global. </w:t>
      </w:r>
      <w:r w:rsidR="756D1171" w:rsidRPr="6C47E393">
        <w:rPr>
          <w:rFonts w:ascii="Arial" w:eastAsia="Arial" w:hAnsi="Arial" w:cs="Arial"/>
          <w:lang w:val="es-ES"/>
        </w:rPr>
        <w:t>Bajo el nombre de</w:t>
      </w:r>
      <w:r w:rsidR="756D1171" w:rsidRPr="0B472564">
        <w:rPr>
          <w:rFonts w:ascii="Arial" w:eastAsia="Arial" w:hAnsi="Arial" w:cs="Arial"/>
          <w:lang w:val="es-ES"/>
        </w:rPr>
        <w:t xml:space="preserve"> </w:t>
      </w:r>
      <w:r w:rsidR="1E9CF124" w:rsidRPr="1D1C9282">
        <w:rPr>
          <w:rFonts w:ascii="Arial" w:eastAsia="Arial" w:hAnsi="Arial" w:cs="Arial"/>
          <w:lang w:val="es-ES"/>
        </w:rPr>
        <w:t>“</w:t>
      </w:r>
      <w:r w:rsidR="00D3515E" w:rsidRPr="33F8DE2A">
        <w:rPr>
          <w:rFonts w:ascii="Arial" w:eastAsia="Arial" w:hAnsi="Arial" w:cs="Arial"/>
          <w:lang w:val="es-ES"/>
        </w:rPr>
        <w:t>Un Buen Sexenio para la Niñez</w:t>
      </w:r>
      <w:r w:rsidR="526F6C1C" w:rsidRPr="0B472564">
        <w:rPr>
          <w:rFonts w:ascii="Arial" w:eastAsia="Arial" w:hAnsi="Arial" w:cs="Arial"/>
          <w:lang w:val="es-ES"/>
        </w:rPr>
        <w:t>”</w:t>
      </w:r>
      <w:r w:rsidR="2429DE54" w:rsidRPr="0B472564">
        <w:rPr>
          <w:rFonts w:ascii="Arial" w:eastAsia="Arial" w:hAnsi="Arial" w:cs="Arial"/>
          <w:lang w:val="es-ES"/>
        </w:rPr>
        <w:t>,</w:t>
      </w:r>
      <w:r w:rsidR="00D3515E" w:rsidRPr="0B472564">
        <w:rPr>
          <w:rFonts w:ascii="Arial" w:eastAsia="Arial" w:hAnsi="Arial" w:cs="Arial"/>
          <w:lang w:val="es-ES"/>
        </w:rPr>
        <w:t xml:space="preserve"> e</w:t>
      </w:r>
      <w:r w:rsidR="0269B742" w:rsidRPr="0B472564">
        <w:rPr>
          <w:rFonts w:ascii="Arial" w:eastAsia="Arial" w:hAnsi="Arial" w:cs="Arial"/>
          <w:lang w:val="es-ES"/>
        </w:rPr>
        <w:t xml:space="preserve">l </w:t>
      </w:r>
      <w:r w:rsidR="00D3515E" w:rsidRPr="33F8DE2A">
        <w:rPr>
          <w:rFonts w:ascii="Arial" w:eastAsia="Arial" w:hAnsi="Arial" w:cs="Arial"/>
          <w:lang w:val="es-ES"/>
        </w:rPr>
        <w:t xml:space="preserve">programa contiene seis propuestas para avanzar en el bienestar de NNA, </w:t>
      </w:r>
      <w:r w:rsidR="21EA546A" w:rsidRPr="0B472564">
        <w:rPr>
          <w:rFonts w:ascii="Arial" w:eastAsia="Arial" w:hAnsi="Arial" w:cs="Arial"/>
          <w:lang w:val="es-ES"/>
        </w:rPr>
        <w:t xml:space="preserve">entre </w:t>
      </w:r>
      <w:r w:rsidR="21EA546A" w:rsidRPr="6C00EF4C">
        <w:rPr>
          <w:rFonts w:ascii="Arial" w:eastAsia="Arial" w:hAnsi="Arial" w:cs="Arial"/>
          <w:lang w:val="es-ES"/>
        </w:rPr>
        <w:t xml:space="preserve">ellas se </w:t>
      </w:r>
      <w:r w:rsidR="23FC11E6" w:rsidRPr="0B472564">
        <w:rPr>
          <w:rFonts w:ascii="Arial" w:eastAsia="Arial" w:hAnsi="Arial" w:cs="Arial"/>
          <w:lang w:val="es-ES"/>
        </w:rPr>
        <w:t>encuentran</w:t>
      </w:r>
      <w:r w:rsidR="21EA546A" w:rsidRPr="0EFC06C6">
        <w:rPr>
          <w:rFonts w:ascii="Arial" w:eastAsia="Arial" w:hAnsi="Arial" w:cs="Arial"/>
          <w:lang w:val="es-ES"/>
        </w:rPr>
        <w:t>:</w:t>
      </w:r>
      <w:r w:rsidR="00D3515E" w:rsidRPr="33F8DE2A">
        <w:rPr>
          <w:rFonts w:ascii="Arial" w:eastAsia="Arial" w:hAnsi="Arial" w:cs="Arial"/>
          <w:lang w:val="es-ES"/>
        </w:rPr>
        <w:t xml:space="preserve"> Alimentación saludable desde el embarazo, Protección universal frente al abuso y violencia, Universalización de atención integral para NNA menores de 5 años, Inclusión universal en educación básica y media e inversión pública estratégica para NNA y finalmente, Universalización de seguridad y protección social.</w:t>
      </w:r>
      <w:r w:rsidR="20E7C5C9" w:rsidRPr="33F8DE2A">
        <w:rPr>
          <w:rFonts w:ascii="Arial" w:eastAsia="Arial" w:hAnsi="Arial" w:cs="Arial"/>
          <w:lang w:val="es-ES"/>
        </w:rPr>
        <w:t xml:space="preserve"> (</w:t>
      </w:r>
      <w:r w:rsidR="005F64D0" w:rsidRPr="33F8DE2A">
        <w:rPr>
          <w:rFonts w:ascii="Arial" w:eastAsia="Arial" w:hAnsi="Arial" w:cs="Arial"/>
          <w:lang w:val="es-ES"/>
        </w:rPr>
        <w:t xml:space="preserve">Consulta más información de la noticia en el siguiente enlace: </w:t>
      </w:r>
      <w:hyperlink r:id="rId33">
        <w:r w:rsidR="005F64D0" w:rsidRPr="33F8DE2A">
          <w:rPr>
            <w:rStyle w:val="Hipervnculo"/>
            <w:rFonts w:ascii="Arial" w:eastAsia="Arial" w:hAnsi="Arial" w:cs="Arial"/>
            <w:lang w:val="es-ES"/>
          </w:rPr>
          <w:t>https://www.unicef.org/mexico/comunicados-prensa/un-buen-sexenio-para-la-ni%C3%B1ez-m%C3%A9xico-cuenta-con-unicef-para-erradicar-la-pobreza</w:t>
        </w:r>
      </w:hyperlink>
      <w:r w:rsidR="54DFFB82" w:rsidRPr="33F8DE2A">
        <w:rPr>
          <w:rFonts w:ascii="Arial" w:eastAsia="Arial" w:hAnsi="Arial" w:cs="Arial"/>
          <w:lang w:val="es-ES"/>
        </w:rPr>
        <w:t xml:space="preserve">). </w:t>
      </w:r>
      <w:r w:rsidR="00D3515E" w:rsidRPr="33F8DE2A">
        <w:rPr>
          <w:rFonts w:ascii="Arial" w:eastAsia="Arial" w:hAnsi="Arial" w:cs="Arial"/>
          <w:lang w:val="es-ES"/>
        </w:rPr>
        <w:t xml:space="preserve"> </w:t>
      </w:r>
    </w:p>
    <w:p w14:paraId="0421808F" w14:textId="6D547FA0" w:rsidR="570D9321" w:rsidRDefault="570D9321" w:rsidP="6E83B9AD">
      <w:pPr>
        <w:spacing w:line="240" w:lineRule="auto"/>
        <w:rPr>
          <w:rFonts w:ascii="Arial" w:eastAsia="Arial" w:hAnsi="Arial" w:cs="Arial"/>
        </w:rPr>
      </w:pPr>
      <w:r w:rsidRPr="33F8DE2A">
        <w:rPr>
          <w:rFonts w:ascii="Arial" w:eastAsia="Arial" w:hAnsi="Arial" w:cs="Arial"/>
        </w:rPr>
        <w:br w:type="page"/>
      </w:r>
    </w:p>
    <w:p w14:paraId="77C4B9D2" w14:textId="77777777" w:rsidR="00D3515E" w:rsidRPr="00D3515E" w:rsidRDefault="00D3515E" w:rsidP="6E83B9AD">
      <w:pPr>
        <w:pStyle w:val="Ttulo1"/>
        <w:spacing w:line="240" w:lineRule="auto"/>
        <w:rPr>
          <w:rFonts w:ascii="Arial" w:eastAsia="Arial" w:hAnsi="Arial" w:cs="Arial"/>
          <w:lang w:val="es-ES"/>
        </w:rPr>
      </w:pPr>
      <w:r w:rsidRPr="33F8DE2A">
        <w:rPr>
          <w:rFonts w:ascii="Arial" w:eastAsia="Arial" w:hAnsi="Arial" w:cs="Arial"/>
          <w:lang w:val="es-ES"/>
        </w:rPr>
        <w:lastRenderedPageBreak/>
        <w:t xml:space="preserve">Panorama Internacional </w:t>
      </w:r>
    </w:p>
    <w:p w14:paraId="789DF6C8" w14:textId="71E415AA" w:rsidR="3458F674" w:rsidRDefault="3458F674" w:rsidP="23B0D9C3">
      <w:pPr>
        <w:spacing w:line="240" w:lineRule="auto"/>
        <w:rPr>
          <w:rFonts w:ascii="Arial" w:eastAsia="Arial" w:hAnsi="Arial" w:cs="Arial"/>
          <w:lang w:val="es-ES"/>
        </w:rPr>
      </w:pPr>
      <w:r w:rsidRPr="23B0D9C3">
        <w:rPr>
          <w:rFonts w:ascii="Arial" w:eastAsia="Arial" w:hAnsi="Arial" w:cs="Arial"/>
          <w:lang w:val="es-ES"/>
        </w:rPr>
        <w:t>En este apartado del boletín se da cuenta de informes y sentencias sobre distintos temas de interés emitid</w:t>
      </w:r>
      <w:r w:rsidR="23E7F3DE" w:rsidRPr="23B0D9C3">
        <w:rPr>
          <w:rFonts w:ascii="Arial" w:eastAsia="Arial" w:hAnsi="Arial" w:cs="Arial"/>
          <w:lang w:val="es"/>
        </w:rPr>
        <w:t>o</w:t>
      </w:r>
      <w:r w:rsidRPr="23B0D9C3">
        <w:rPr>
          <w:rFonts w:ascii="Arial" w:eastAsia="Arial" w:hAnsi="Arial" w:cs="Arial"/>
          <w:lang w:val="es-ES"/>
        </w:rPr>
        <w:t>s por órganos de los sistemas internacional e interamericano de derechos humanos.</w:t>
      </w:r>
    </w:p>
    <w:p w14:paraId="45B76B2F" w14:textId="5CFE7798" w:rsidR="005F64D0" w:rsidRPr="005F64D0" w:rsidRDefault="209A5A1A" w:rsidP="6E83B9AD">
      <w:pPr>
        <w:pStyle w:val="Prrafodelista"/>
        <w:numPr>
          <w:ilvl w:val="0"/>
          <w:numId w:val="3"/>
        </w:numPr>
        <w:spacing w:line="240" w:lineRule="auto"/>
        <w:rPr>
          <w:rFonts w:ascii="Arial" w:eastAsia="Arial" w:hAnsi="Arial" w:cs="Arial"/>
          <w:lang w:val="es-ES"/>
        </w:rPr>
      </w:pPr>
      <w:r w:rsidRPr="33F8DE2A">
        <w:rPr>
          <w:rFonts w:ascii="Arial" w:eastAsia="Arial" w:hAnsi="Arial" w:cs="Arial"/>
          <w:lang w:val="es-ES"/>
        </w:rPr>
        <w:t>En julio de 2024, e</w:t>
      </w:r>
      <w:r w:rsidR="00D3515E" w:rsidRPr="33F8DE2A">
        <w:rPr>
          <w:rFonts w:ascii="Arial" w:eastAsia="Arial" w:hAnsi="Arial" w:cs="Arial"/>
          <w:lang w:val="es-ES"/>
        </w:rPr>
        <w:t xml:space="preserve">l Relator Especial sobre el derecho al desarrollo </w:t>
      </w:r>
      <w:r w:rsidR="00D3515E" w:rsidRPr="23B0D9C3">
        <w:rPr>
          <w:rFonts w:ascii="Arial" w:eastAsia="Arial" w:hAnsi="Arial" w:cs="Arial"/>
          <w:lang w:val="es-ES"/>
        </w:rPr>
        <w:t>e</w:t>
      </w:r>
      <w:r w:rsidR="1B562397" w:rsidRPr="23B0D9C3">
        <w:rPr>
          <w:rFonts w:ascii="Arial" w:eastAsia="Arial" w:hAnsi="Arial" w:cs="Arial"/>
          <w:lang w:val="es-ES"/>
        </w:rPr>
        <w:t>xpuso</w:t>
      </w:r>
      <w:r w:rsidR="00D3515E" w:rsidRPr="33F8DE2A">
        <w:rPr>
          <w:rFonts w:ascii="Arial" w:eastAsia="Arial" w:hAnsi="Arial" w:cs="Arial"/>
          <w:lang w:val="es-ES"/>
        </w:rPr>
        <w:t xml:space="preserve"> los motivos por los que es necesario tomar en serio los derechos humanos de las generaciones futuras, incluido el derecho al desarrollo</w:t>
      </w:r>
      <w:r w:rsidR="5E27C2CE" w:rsidRPr="23B0D9C3">
        <w:rPr>
          <w:rFonts w:ascii="Arial" w:eastAsia="Arial" w:hAnsi="Arial" w:cs="Arial"/>
          <w:lang w:val="es-ES"/>
        </w:rPr>
        <w:t xml:space="preserve">. </w:t>
      </w:r>
      <w:r w:rsidR="57300B23" w:rsidRPr="23B0D9C3">
        <w:rPr>
          <w:rFonts w:ascii="Arial" w:eastAsia="Arial" w:hAnsi="Arial" w:cs="Arial"/>
          <w:lang w:val="es-ES"/>
        </w:rPr>
        <w:t>Al</w:t>
      </w:r>
      <w:r w:rsidR="00D3515E" w:rsidRPr="33F8DE2A">
        <w:rPr>
          <w:rFonts w:ascii="Arial" w:eastAsia="Arial" w:hAnsi="Arial" w:cs="Arial"/>
          <w:lang w:val="es-ES"/>
        </w:rPr>
        <w:t xml:space="preserve"> respecto</w:t>
      </w:r>
      <w:r w:rsidR="57300B23" w:rsidRPr="23B0D9C3">
        <w:rPr>
          <w:rFonts w:ascii="Arial" w:eastAsia="Arial" w:hAnsi="Arial" w:cs="Arial"/>
          <w:lang w:val="es-ES"/>
        </w:rPr>
        <w:t>, recomendó</w:t>
      </w:r>
      <w:r w:rsidR="00D3515E" w:rsidRPr="33F8DE2A">
        <w:rPr>
          <w:rFonts w:ascii="Arial" w:eastAsia="Arial" w:hAnsi="Arial" w:cs="Arial"/>
          <w:lang w:val="es-ES"/>
        </w:rPr>
        <w:t xml:space="preserve"> cuatro cambios de políticas destinados a instaurar un ecosistema que apoye el derecho al desarrollo y todos los demás derechos humanos de las generaciones futuras. </w:t>
      </w:r>
      <w:r w:rsidR="7119C29D" w:rsidRPr="33F8DE2A">
        <w:rPr>
          <w:rFonts w:ascii="Arial" w:eastAsia="Arial" w:hAnsi="Arial" w:cs="Arial"/>
          <w:lang w:val="es-ES"/>
        </w:rPr>
        <w:t>(</w:t>
      </w:r>
      <w:r w:rsidR="005273DE" w:rsidRPr="33F8DE2A">
        <w:rPr>
          <w:rFonts w:ascii="Arial" w:eastAsia="Arial" w:hAnsi="Arial" w:cs="Arial"/>
          <w:lang w:val="es-ES"/>
        </w:rPr>
        <w:t xml:space="preserve">Consulta el informe en el siguiente enlace: </w:t>
      </w:r>
      <w:hyperlink r:id="rId34">
        <w:r w:rsidR="005273DE" w:rsidRPr="33F8DE2A">
          <w:rPr>
            <w:rStyle w:val="Hipervnculo"/>
            <w:rFonts w:ascii="Arial" w:eastAsia="Arial" w:hAnsi="Arial" w:cs="Arial"/>
            <w:lang w:val="es-ES"/>
          </w:rPr>
          <w:t>https://www.ohchr.org/es/documents/thematic-reports/ahrc5743-right-development-children-and-future-generations-report</w:t>
        </w:r>
      </w:hyperlink>
      <w:r w:rsidR="632AD550" w:rsidRPr="33F8DE2A">
        <w:rPr>
          <w:rFonts w:ascii="Arial" w:eastAsia="Arial" w:hAnsi="Arial" w:cs="Arial"/>
          <w:lang w:val="es-ES"/>
        </w:rPr>
        <w:t>).</w:t>
      </w:r>
    </w:p>
    <w:p w14:paraId="29447A93" w14:textId="494CFB3F" w:rsidR="570D9321" w:rsidRDefault="570D9321" w:rsidP="6E83B9AD">
      <w:pPr>
        <w:spacing w:line="240" w:lineRule="auto"/>
        <w:rPr>
          <w:rFonts w:ascii="Arial" w:eastAsia="Arial" w:hAnsi="Arial" w:cs="Arial"/>
          <w:lang w:val="es-ES"/>
        </w:rPr>
      </w:pPr>
    </w:p>
    <w:p w14:paraId="5081F2B7" w14:textId="4D312211" w:rsidR="570D9321" w:rsidRDefault="628A39A5" w:rsidP="6E83B9AD">
      <w:pPr>
        <w:pStyle w:val="Prrafodelista"/>
        <w:numPr>
          <w:ilvl w:val="0"/>
          <w:numId w:val="3"/>
        </w:numPr>
        <w:spacing w:line="240" w:lineRule="auto"/>
        <w:rPr>
          <w:rFonts w:ascii="Arial" w:eastAsia="Arial" w:hAnsi="Arial" w:cs="Arial"/>
          <w:lang w:val="es-ES"/>
        </w:rPr>
      </w:pPr>
      <w:r w:rsidRPr="33F8DE2A">
        <w:rPr>
          <w:rFonts w:ascii="Arial" w:eastAsia="Arial" w:hAnsi="Arial" w:cs="Arial"/>
          <w:lang w:val="es-ES"/>
        </w:rPr>
        <w:t>En julio de 2024, en</w:t>
      </w:r>
      <w:r w:rsidR="00D3515E" w:rsidRPr="33F8DE2A">
        <w:rPr>
          <w:rFonts w:ascii="Arial" w:eastAsia="Arial" w:hAnsi="Arial" w:cs="Arial"/>
          <w:lang w:val="es-ES"/>
        </w:rPr>
        <w:t xml:space="preserve"> el Informe</w:t>
      </w:r>
      <w:r w:rsidR="1FA58FEA" w:rsidRPr="6E83B9AD">
        <w:rPr>
          <w:rFonts w:ascii="Arial" w:eastAsia="Arial" w:hAnsi="Arial" w:cs="Arial"/>
          <w:lang w:val="es-ES"/>
        </w:rPr>
        <w:t xml:space="preserve"> A/79/176 (enlace del informe aquí: </w:t>
      </w:r>
      <w:hyperlink r:id="rId35">
        <w:r w:rsidR="1FA58FEA" w:rsidRPr="6E83B9AD">
          <w:rPr>
            <w:rStyle w:val="Hipervnculo"/>
            <w:rFonts w:ascii="Arial" w:eastAsia="Arial" w:hAnsi="Arial" w:cs="Arial"/>
            <w:lang w:val="es-ES"/>
          </w:rPr>
          <w:t>https://documents.un.org/doc/undoc/gen/n24/213/35/pdf/n2421335.pdf</w:t>
        </w:r>
      </w:hyperlink>
      <w:r w:rsidR="1FA58FEA" w:rsidRPr="6E83B9AD">
        <w:rPr>
          <w:rFonts w:ascii="Arial" w:eastAsia="Arial" w:hAnsi="Arial" w:cs="Arial"/>
          <w:lang w:val="es-ES"/>
        </w:rPr>
        <w:t>)</w:t>
      </w:r>
      <w:r w:rsidR="00D3515E" w:rsidRPr="6E83B9AD">
        <w:rPr>
          <w:rFonts w:ascii="Arial" w:eastAsia="Arial" w:hAnsi="Arial" w:cs="Arial"/>
          <w:lang w:val="es-ES"/>
        </w:rPr>
        <w:t>,</w:t>
      </w:r>
      <w:r w:rsidR="00D3515E" w:rsidRPr="33F8DE2A">
        <w:rPr>
          <w:rFonts w:ascii="Arial" w:eastAsia="Arial" w:hAnsi="Arial" w:cs="Arial"/>
          <w:lang w:val="es-ES"/>
        </w:rPr>
        <w:t xml:space="preserve"> la Relatora Especial sobre la promoción y la protección de los derechos humanos en el contexto del cambio climático señaló la importancia del acceso a la información para prevenir la discriminación interseccional y proteger mejor los derechos humanos vulnerados por el cambio climático. La Relatora instó a los Estados a destinar presupuesto público para luchar contra el cambio climático. </w:t>
      </w:r>
    </w:p>
    <w:p w14:paraId="117DD7DE" w14:textId="6F8A7551" w:rsidR="6E83B9AD" w:rsidRDefault="6E83B9AD" w:rsidP="6E83B9AD">
      <w:pPr>
        <w:pStyle w:val="Prrafodelista"/>
        <w:spacing w:line="240" w:lineRule="auto"/>
        <w:rPr>
          <w:rFonts w:ascii="Arial" w:eastAsia="Arial" w:hAnsi="Arial" w:cs="Arial"/>
          <w:lang w:val="es-ES"/>
        </w:rPr>
      </w:pPr>
    </w:p>
    <w:p w14:paraId="586E3DE2" w14:textId="12D78605" w:rsidR="005273DE" w:rsidRPr="005273DE" w:rsidRDefault="66C210D2" w:rsidP="6E83B9AD">
      <w:pPr>
        <w:pStyle w:val="Prrafodelista"/>
        <w:numPr>
          <w:ilvl w:val="0"/>
          <w:numId w:val="3"/>
        </w:numPr>
        <w:spacing w:line="240" w:lineRule="auto"/>
        <w:rPr>
          <w:rFonts w:ascii="Arial" w:eastAsia="Arial" w:hAnsi="Arial" w:cs="Arial"/>
          <w:lang w:val="es-ES"/>
        </w:rPr>
      </w:pPr>
      <w:r w:rsidRPr="33F8DE2A">
        <w:rPr>
          <w:rFonts w:ascii="Arial" w:eastAsia="Arial" w:hAnsi="Arial" w:cs="Arial"/>
          <w:lang w:val="es-ES"/>
        </w:rPr>
        <w:t>En julio de 2024, l</w:t>
      </w:r>
      <w:r w:rsidR="00D3515E" w:rsidRPr="33F8DE2A">
        <w:rPr>
          <w:rFonts w:ascii="Arial" w:eastAsia="Arial" w:hAnsi="Arial" w:cs="Arial"/>
          <w:lang w:val="es-ES"/>
        </w:rPr>
        <w:t xml:space="preserve">a Experta Independiente sobre el disfrute de los derechos humanos de las personas con albinismo manifestó </w:t>
      </w:r>
      <w:r w:rsidR="359CB759" w:rsidRPr="23B0D9C3">
        <w:rPr>
          <w:rFonts w:ascii="Arial" w:eastAsia="Arial" w:hAnsi="Arial" w:cs="Arial"/>
          <w:lang w:val="es-ES"/>
        </w:rPr>
        <w:t>su</w:t>
      </w:r>
      <w:r w:rsidR="00D3515E" w:rsidRPr="33F8DE2A">
        <w:rPr>
          <w:rFonts w:ascii="Arial" w:eastAsia="Arial" w:hAnsi="Arial" w:cs="Arial"/>
          <w:lang w:val="es-ES"/>
        </w:rPr>
        <w:t xml:space="preserve"> preocupación por la difícil situación que </w:t>
      </w:r>
      <w:r w:rsidR="00D3515E" w:rsidRPr="23B0D9C3">
        <w:rPr>
          <w:rFonts w:ascii="Arial" w:eastAsia="Arial" w:hAnsi="Arial" w:cs="Arial"/>
          <w:lang w:val="es-ES"/>
        </w:rPr>
        <w:t>vive</w:t>
      </w:r>
      <w:r w:rsidR="00D3515E" w:rsidRPr="33F8DE2A">
        <w:rPr>
          <w:rFonts w:ascii="Arial" w:eastAsia="Arial" w:hAnsi="Arial" w:cs="Arial"/>
          <w:lang w:val="es-ES"/>
        </w:rPr>
        <w:t xml:space="preserve"> este grupo</w:t>
      </w:r>
      <w:r w:rsidR="15699F0B" w:rsidRPr="23B0D9C3">
        <w:rPr>
          <w:rFonts w:ascii="Arial" w:eastAsia="Arial" w:hAnsi="Arial" w:cs="Arial"/>
          <w:lang w:val="es-ES"/>
        </w:rPr>
        <w:t xml:space="preserve"> de personas</w:t>
      </w:r>
      <w:r w:rsidR="00D3515E" w:rsidRPr="33F8DE2A">
        <w:rPr>
          <w:rFonts w:ascii="Arial" w:eastAsia="Arial" w:hAnsi="Arial" w:cs="Arial"/>
          <w:lang w:val="es-ES"/>
        </w:rPr>
        <w:t xml:space="preserve">, especialmente quienes son separados de sus familias debido a la discriminación, la falta de acceso a la educación o los servicios de salud, la carga del cuidado y la pobreza. Recomendó a los Estados </w:t>
      </w:r>
      <w:r w:rsidR="0026337A">
        <w:rPr>
          <w:rFonts w:ascii="Arial" w:eastAsia="Arial" w:hAnsi="Arial" w:cs="Arial"/>
          <w:lang w:val="es-ES"/>
        </w:rPr>
        <w:t>asegurar</w:t>
      </w:r>
      <w:r w:rsidR="00D3515E" w:rsidRPr="33F8DE2A">
        <w:rPr>
          <w:rFonts w:ascii="Arial" w:eastAsia="Arial" w:hAnsi="Arial" w:cs="Arial"/>
          <w:lang w:val="es-ES"/>
        </w:rPr>
        <w:t xml:space="preserve"> que las familias de </w:t>
      </w:r>
      <w:proofErr w:type="gramStart"/>
      <w:r w:rsidR="00D3515E" w:rsidRPr="33F8DE2A">
        <w:rPr>
          <w:rFonts w:ascii="Arial" w:eastAsia="Arial" w:hAnsi="Arial" w:cs="Arial"/>
          <w:lang w:val="es-ES"/>
        </w:rPr>
        <w:t>niños y niñas</w:t>
      </w:r>
      <w:proofErr w:type="gramEnd"/>
      <w:r w:rsidR="00D3515E" w:rsidRPr="33F8DE2A">
        <w:rPr>
          <w:rFonts w:ascii="Arial" w:eastAsia="Arial" w:hAnsi="Arial" w:cs="Arial"/>
          <w:lang w:val="es-ES"/>
        </w:rPr>
        <w:t xml:space="preserve"> con albinismo económicamente desfavorecidas puedan acceder a planes de protección social</w:t>
      </w:r>
      <w:r w:rsidR="006217ED">
        <w:rPr>
          <w:rFonts w:ascii="Arial" w:eastAsia="Arial" w:hAnsi="Arial" w:cs="Arial"/>
          <w:lang w:val="es-ES"/>
        </w:rPr>
        <w:t>, así como</w:t>
      </w:r>
      <w:r w:rsidR="00D3515E" w:rsidRPr="33F8DE2A">
        <w:rPr>
          <w:rFonts w:ascii="Arial" w:eastAsia="Arial" w:hAnsi="Arial" w:cs="Arial"/>
          <w:lang w:val="es-ES"/>
        </w:rPr>
        <w:t xml:space="preserve"> garantizar</w:t>
      </w:r>
      <w:r w:rsidR="000728F7">
        <w:rPr>
          <w:rFonts w:ascii="Arial" w:eastAsia="Arial" w:hAnsi="Arial" w:cs="Arial"/>
          <w:lang w:val="es-ES"/>
        </w:rPr>
        <w:t xml:space="preserve"> el</w:t>
      </w:r>
      <w:r w:rsidR="00D3515E" w:rsidRPr="33F8DE2A">
        <w:rPr>
          <w:rFonts w:ascii="Arial" w:eastAsia="Arial" w:hAnsi="Arial" w:cs="Arial"/>
          <w:lang w:val="es-ES"/>
        </w:rPr>
        <w:t xml:space="preserve"> acceso a una educación inclusiva. </w:t>
      </w:r>
      <w:r w:rsidR="402D3419" w:rsidRPr="33F8DE2A">
        <w:rPr>
          <w:rFonts w:ascii="Arial" w:eastAsia="Arial" w:hAnsi="Arial" w:cs="Arial"/>
          <w:lang w:val="es-ES"/>
        </w:rPr>
        <w:t>(</w:t>
      </w:r>
      <w:r w:rsidR="005273DE" w:rsidRPr="33F8DE2A">
        <w:rPr>
          <w:rFonts w:ascii="Arial" w:eastAsia="Arial" w:hAnsi="Arial" w:cs="Arial"/>
          <w:lang w:val="es-ES"/>
        </w:rPr>
        <w:t xml:space="preserve">Consulta el informe en el siguiente enlace: </w:t>
      </w:r>
      <w:hyperlink r:id="rId36">
        <w:r w:rsidR="005273DE" w:rsidRPr="33F8DE2A">
          <w:rPr>
            <w:rStyle w:val="Hipervnculo"/>
            <w:rFonts w:ascii="Arial" w:eastAsia="Arial" w:hAnsi="Arial" w:cs="Arial"/>
            <w:lang w:val="es-ES"/>
          </w:rPr>
          <w:t>https://documents.un.org/doc/undoc/gen/n24/213/26/pdf/n2421326.pdf</w:t>
        </w:r>
      </w:hyperlink>
      <w:r w:rsidR="1150D6EE" w:rsidRPr="33F8DE2A">
        <w:rPr>
          <w:rFonts w:ascii="Arial" w:eastAsia="Arial" w:hAnsi="Arial" w:cs="Arial"/>
          <w:lang w:val="es-ES"/>
        </w:rPr>
        <w:t>).</w:t>
      </w:r>
    </w:p>
    <w:p w14:paraId="644C9C19" w14:textId="775BD9B9" w:rsidR="570D9321" w:rsidRDefault="570D9321" w:rsidP="6E83B9AD">
      <w:pPr>
        <w:spacing w:line="240" w:lineRule="auto"/>
        <w:rPr>
          <w:rFonts w:ascii="Arial" w:eastAsia="Arial" w:hAnsi="Arial" w:cs="Arial"/>
          <w:lang w:val="es-ES"/>
        </w:rPr>
      </w:pPr>
    </w:p>
    <w:p w14:paraId="13D5605F" w14:textId="45CCE3BF" w:rsidR="005273DE" w:rsidRPr="005273DE" w:rsidRDefault="7A9581B1" w:rsidP="6E83B9AD">
      <w:pPr>
        <w:pStyle w:val="Prrafodelista"/>
        <w:numPr>
          <w:ilvl w:val="0"/>
          <w:numId w:val="3"/>
        </w:numPr>
        <w:spacing w:line="240" w:lineRule="auto"/>
        <w:rPr>
          <w:rFonts w:ascii="Arial" w:eastAsia="Arial" w:hAnsi="Arial" w:cs="Arial"/>
          <w:lang w:val="es-ES"/>
        </w:rPr>
      </w:pPr>
      <w:r w:rsidRPr="443DCA27">
        <w:rPr>
          <w:rFonts w:ascii="Arial" w:eastAsia="Arial" w:hAnsi="Arial" w:cs="Arial"/>
          <w:lang w:val="es-ES"/>
        </w:rPr>
        <w:t>En julio de 2024,</w:t>
      </w:r>
      <w:r w:rsidR="00D3515E" w:rsidRPr="33F8DE2A" w:rsidDel="00474E3B">
        <w:rPr>
          <w:rFonts w:ascii="Arial" w:eastAsia="Arial" w:hAnsi="Arial" w:cs="Arial"/>
          <w:lang w:val="es-ES"/>
        </w:rPr>
        <w:t xml:space="preserve"> </w:t>
      </w:r>
      <w:r w:rsidR="00474E3B">
        <w:rPr>
          <w:rFonts w:ascii="Arial" w:eastAsia="Arial" w:hAnsi="Arial" w:cs="Arial"/>
          <w:lang w:val="es-ES"/>
        </w:rPr>
        <w:t xml:space="preserve">el </w:t>
      </w:r>
      <w:r w:rsidR="00D3515E" w:rsidRPr="33F8DE2A">
        <w:rPr>
          <w:rFonts w:ascii="Arial" w:eastAsia="Arial" w:hAnsi="Arial" w:cs="Arial"/>
          <w:lang w:val="es-ES"/>
        </w:rPr>
        <w:t xml:space="preserve">Relator Especial sobre los derechos de los Pueblos Indígenas presentó </w:t>
      </w:r>
      <w:r w:rsidR="00474E3B" w:rsidRPr="33F8DE2A">
        <w:rPr>
          <w:rFonts w:ascii="Arial" w:eastAsia="Arial" w:hAnsi="Arial" w:cs="Arial"/>
          <w:lang w:val="es-ES"/>
        </w:rPr>
        <w:t xml:space="preserve">el Informe </w:t>
      </w:r>
      <w:r w:rsidR="00474E3B" w:rsidRPr="23B0D9C3">
        <w:rPr>
          <w:rFonts w:ascii="Arial" w:eastAsia="Arial" w:hAnsi="Arial" w:cs="Arial"/>
          <w:lang w:val="es-ES"/>
        </w:rPr>
        <w:t xml:space="preserve">A/HRC/57/47 (enlace aquí: </w:t>
      </w:r>
      <w:hyperlink r:id="rId37">
        <w:r w:rsidR="00474E3B" w:rsidRPr="23B0D9C3">
          <w:rPr>
            <w:rStyle w:val="Hipervnculo"/>
            <w:rFonts w:ascii="Arial" w:eastAsia="Arial" w:hAnsi="Arial" w:cs="Arial"/>
            <w:lang w:val="es-ES"/>
          </w:rPr>
          <w:t>https://documents.un.org/doc/undoc/gen/g24/115/25/pdf/g2411525.pdf</w:t>
        </w:r>
      </w:hyperlink>
      <w:r w:rsidR="00474E3B" w:rsidRPr="23B0D9C3">
        <w:rPr>
          <w:rFonts w:ascii="Arial" w:eastAsia="Arial" w:hAnsi="Arial" w:cs="Arial"/>
          <w:lang w:val="es-ES"/>
        </w:rPr>
        <w:t xml:space="preserve">) </w:t>
      </w:r>
      <w:r w:rsidR="00474E3B">
        <w:rPr>
          <w:rFonts w:ascii="Arial" w:eastAsia="Arial" w:hAnsi="Arial" w:cs="Arial"/>
          <w:lang w:val="es-ES"/>
        </w:rPr>
        <w:t xml:space="preserve">en el que realizó </w:t>
      </w:r>
      <w:r w:rsidR="00D3515E" w:rsidRPr="33F8DE2A">
        <w:rPr>
          <w:rFonts w:ascii="Arial" w:eastAsia="Arial" w:hAnsi="Arial" w:cs="Arial"/>
          <w:lang w:val="es-ES"/>
        </w:rPr>
        <w:t xml:space="preserve">un análisis temático de las principales dificultades a las que se enfrentan las personas indígenas con discapacidad para hacer efectivos sus derechos. Entre las recomendaciones que hace a los Estados </w:t>
      </w:r>
      <w:r w:rsidR="7240EB41" w:rsidRPr="23B0D9C3">
        <w:rPr>
          <w:rFonts w:ascii="Arial" w:eastAsia="Arial" w:hAnsi="Arial" w:cs="Arial"/>
          <w:lang w:val="es-ES"/>
        </w:rPr>
        <w:t xml:space="preserve">se encuentra: </w:t>
      </w:r>
      <w:r w:rsidR="00D3515E" w:rsidRPr="33F8DE2A">
        <w:rPr>
          <w:rFonts w:ascii="Arial" w:eastAsia="Arial" w:hAnsi="Arial" w:cs="Arial"/>
          <w:lang w:val="es-ES"/>
        </w:rPr>
        <w:t xml:space="preserve"> garantizar la igualdad de acceso a tierras, territorios y recursos de estas personas; así como promover programas de formación y empleo que aseguren su independencia económica y su inclusión.</w:t>
      </w:r>
    </w:p>
    <w:p w14:paraId="545AAECE" w14:textId="4F614B3B" w:rsidR="570D9321" w:rsidRDefault="570D9321" w:rsidP="6E83B9AD">
      <w:pPr>
        <w:spacing w:line="240" w:lineRule="auto"/>
        <w:ind w:left="708"/>
        <w:rPr>
          <w:rFonts w:ascii="Arial" w:eastAsia="Arial" w:hAnsi="Arial" w:cs="Arial"/>
          <w:lang w:val="es-ES"/>
        </w:rPr>
      </w:pPr>
    </w:p>
    <w:p w14:paraId="796CE5F4" w14:textId="57CA4E70" w:rsidR="005273DE" w:rsidRPr="005273DE" w:rsidRDefault="49E5A442" w:rsidP="6E83B9AD">
      <w:pPr>
        <w:pStyle w:val="Prrafodelista"/>
        <w:numPr>
          <w:ilvl w:val="0"/>
          <w:numId w:val="3"/>
        </w:numPr>
        <w:spacing w:line="240" w:lineRule="auto"/>
        <w:rPr>
          <w:rFonts w:ascii="Arial" w:eastAsia="Arial" w:hAnsi="Arial" w:cs="Arial"/>
          <w:lang w:val="es-ES"/>
        </w:rPr>
      </w:pPr>
      <w:r w:rsidRPr="33F8DE2A">
        <w:rPr>
          <w:rFonts w:ascii="Arial" w:eastAsia="Arial" w:hAnsi="Arial" w:cs="Arial"/>
          <w:lang w:val="es-ES"/>
        </w:rPr>
        <w:t>En julio de 2024, e</w:t>
      </w:r>
      <w:r w:rsidR="00D3515E" w:rsidRPr="33F8DE2A">
        <w:rPr>
          <w:rFonts w:ascii="Arial" w:eastAsia="Arial" w:hAnsi="Arial" w:cs="Arial"/>
          <w:lang w:val="es-ES"/>
        </w:rPr>
        <w:t xml:space="preserve">n el Informe del Relator Especial sobre los derechos humanos de los migrantes se observó que los NNA en situación de movilidad tienden a sufrir mayores peligros en comparación con aquellas que, al comenzar su viaje, son mayores a los 18 años. </w:t>
      </w:r>
      <w:r w:rsidR="00142DBB">
        <w:rPr>
          <w:rFonts w:ascii="Arial" w:eastAsia="Arial" w:hAnsi="Arial" w:cs="Arial"/>
          <w:lang w:val="es-ES"/>
        </w:rPr>
        <w:t>Se recomendó</w:t>
      </w:r>
      <w:r w:rsidR="00D3515E" w:rsidRPr="33F8DE2A" w:rsidDel="00142DBB">
        <w:rPr>
          <w:rFonts w:ascii="Arial" w:eastAsia="Arial" w:hAnsi="Arial" w:cs="Arial"/>
          <w:lang w:val="es-ES"/>
        </w:rPr>
        <w:t xml:space="preserve"> </w:t>
      </w:r>
      <w:r w:rsidR="00D3515E" w:rsidRPr="33F8DE2A">
        <w:rPr>
          <w:rFonts w:ascii="Arial" w:eastAsia="Arial" w:hAnsi="Arial" w:cs="Arial"/>
          <w:lang w:val="es-ES"/>
        </w:rPr>
        <w:t xml:space="preserve">a los Estados velar por las decisiones jurisdiccionales que privilegien el interés superior del niño, garantizar </w:t>
      </w:r>
      <w:r w:rsidR="4C042DC9" w:rsidRPr="23B0D9C3">
        <w:rPr>
          <w:rFonts w:ascii="Arial" w:eastAsia="Arial" w:hAnsi="Arial" w:cs="Arial"/>
          <w:lang w:val="es-ES"/>
        </w:rPr>
        <w:t>su</w:t>
      </w:r>
      <w:r w:rsidR="00D3515E" w:rsidRPr="33F8DE2A">
        <w:rPr>
          <w:rFonts w:ascii="Arial" w:eastAsia="Arial" w:hAnsi="Arial" w:cs="Arial"/>
          <w:lang w:val="es-ES"/>
        </w:rPr>
        <w:t xml:space="preserve"> derecho a la vida, la supervivencia, así como su derecho a ser escuchados ante las autoridades. </w:t>
      </w:r>
      <w:r w:rsidR="00C6A6D9" w:rsidRPr="33F8DE2A">
        <w:rPr>
          <w:rFonts w:ascii="Arial" w:eastAsia="Arial" w:hAnsi="Arial" w:cs="Arial"/>
          <w:lang w:val="es-ES"/>
        </w:rPr>
        <w:t>(</w:t>
      </w:r>
      <w:r w:rsidR="005273DE" w:rsidRPr="33F8DE2A">
        <w:rPr>
          <w:rFonts w:ascii="Arial" w:eastAsia="Arial" w:hAnsi="Arial" w:cs="Arial"/>
          <w:lang w:val="es-ES"/>
        </w:rPr>
        <w:t>Consulta el informe en el siguiente enlace:</w:t>
      </w:r>
      <w:r w:rsidR="3492A482" w:rsidRPr="33F8DE2A">
        <w:rPr>
          <w:rFonts w:ascii="Arial" w:eastAsia="Arial" w:hAnsi="Arial" w:cs="Arial"/>
          <w:lang w:val="es-ES"/>
        </w:rPr>
        <w:t xml:space="preserve"> </w:t>
      </w:r>
      <w:hyperlink r:id="rId38">
        <w:r w:rsidR="005273DE" w:rsidRPr="33F8DE2A">
          <w:rPr>
            <w:rStyle w:val="Hipervnculo"/>
            <w:rFonts w:ascii="Arial" w:eastAsia="Arial" w:hAnsi="Arial" w:cs="Arial"/>
            <w:lang w:val="es-ES"/>
          </w:rPr>
          <w:t>https://documents.un.org/doc/undoc/gen/n24/217/32/pdf/n2421732.pdf</w:t>
        </w:r>
      </w:hyperlink>
      <w:r w:rsidR="6E5C0767" w:rsidRPr="33F8DE2A">
        <w:rPr>
          <w:rFonts w:ascii="Arial" w:eastAsia="Arial" w:hAnsi="Arial" w:cs="Arial"/>
          <w:lang w:val="es-ES"/>
        </w:rPr>
        <w:t>).</w:t>
      </w:r>
    </w:p>
    <w:p w14:paraId="272A554D" w14:textId="0F955840" w:rsidR="570D9321" w:rsidRDefault="570D9321" w:rsidP="6E83B9AD">
      <w:pPr>
        <w:spacing w:line="240" w:lineRule="auto"/>
        <w:rPr>
          <w:rFonts w:ascii="Arial" w:eastAsia="Arial" w:hAnsi="Arial" w:cs="Arial"/>
          <w:lang w:val="es-ES"/>
        </w:rPr>
      </w:pPr>
    </w:p>
    <w:p w14:paraId="33EA3126" w14:textId="74F29DD6" w:rsidR="005273DE" w:rsidRPr="005273DE" w:rsidRDefault="7F52951C" w:rsidP="6E83B9AD">
      <w:pPr>
        <w:pStyle w:val="Prrafodelista"/>
        <w:numPr>
          <w:ilvl w:val="0"/>
          <w:numId w:val="3"/>
        </w:numPr>
        <w:spacing w:line="240" w:lineRule="auto"/>
        <w:rPr>
          <w:rFonts w:ascii="Arial" w:eastAsia="Arial" w:hAnsi="Arial" w:cs="Arial"/>
          <w:b/>
          <w:lang w:val="es-ES"/>
        </w:rPr>
      </w:pPr>
      <w:r w:rsidRPr="33F8DE2A">
        <w:rPr>
          <w:rFonts w:ascii="Arial" w:eastAsia="Arial" w:hAnsi="Arial" w:cs="Arial"/>
          <w:lang w:val="es-ES"/>
        </w:rPr>
        <w:t xml:space="preserve">En julio de 2024, el </w:t>
      </w:r>
      <w:r w:rsidR="00D3515E" w:rsidRPr="33F8DE2A">
        <w:rPr>
          <w:rFonts w:ascii="Arial" w:eastAsia="Arial" w:hAnsi="Arial" w:cs="Arial"/>
          <w:lang w:val="es-ES"/>
        </w:rPr>
        <w:t>Alto Comisionado manifestó la importancia de promover la educación digital de las y los jóvenes y garantizar su protección frente a las amenazas en línea. Recomendó a los Estados aprueben y apliquen los marcos jurídicos y normativos necesarios para respetar, proteger y hacer efectivos los derechos humanos de los jóvenes en línea; así como el de prestar especial atención a los jóvenes en situación de vulnerabilidad y de aquellos que enfrenten formas múltiples de discriminación</w:t>
      </w:r>
      <w:r w:rsidR="005273DE" w:rsidRPr="33F8DE2A">
        <w:rPr>
          <w:rFonts w:ascii="Arial" w:eastAsia="Arial" w:hAnsi="Arial" w:cs="Arial"/>
          <w:lang w:val="es-ES"/>
        </w:rPr>
        <w:t xml:space="preserve">. </w:t>
      </w:r>
      <w:r w:rsidR="3469556C" w:rsidRPr="33F8DE2A">
        <w:rPr>
          <w:rFonts w:ascii="Arial" w:eastAsia="Arial" w:hAnsi="Arial" w:cs="Arial"/>
          <w:lang w:val="es-ES"/>
        </w:rPr>
        <w:t>(</w:t>
      </w:r>
      <w:r w:rsidR="005273DE" w:rsidRPr="33F8DE2A">
        <w:rPr>
          <w:rFonts w:ascii="Arial" w:eastAsia="Arial" w:hAnsi="Arial" w:cs="Arial"/>
          <w:lang w:val="es-ES"/>
        </w:rPr>
        <w:t xml:space="preserve">Consulta el informe en el siguiente enlace: </w:t>
      </w:r>
      <w:hyperlink r:id="rId39">
        <w:r w:rsidR="005273DE" w:rsidRPr="33F8DE2A">
          <w:rPr>
            <w:rStyle w:val="Hipervnculo"/>
            <w:rFonts w:ascii="Arial" w:eastAsia="Arial" w:hAnsi="Arial" w:cs="Arial"/>
            <w:lang w:val="es-ES"/>
          </w:rPr>
          <w:t>https://www.ohchr.org/en/documents/thematic-reports/ahrc5728-solutions-promote-digital-education-young-people-and-ensure</w:t>
        </w:r>
      </w:hyperlink>
      <w:r w:rsidR="57AB7ADA" w:rsidRPr="33F8DE2A">
        <w:rPr>
          <w:rFonts w:ascii="Arial" w:eastAsia="Arial" w:hAnsi="Arial" w:cs="Arial"/>
          <w:lang w:val="es-ES"/>
        </w:rPr>
        <w:t>).</w:t>
      </w:r>
    </w:p>
    <w:p w14:paraId="1DC77EC5" w14:textId="57F9A69F" w:rsidR="570D9321" w:rsidRDefault="570D9321" w:rsidP="6E83B9AD">
      <w:pPr>
        <w:spacing w:line="240" w:lineRule="auto"/>
        <w:rPr>
          <w:rFonts w:ascii="Arial" w:eastAsia="Arial" w:hAnsi="Arial" w:cs="Arial"/>
          <w:lang w:val="es-ES"/>
        </w:rPr>
      </w:pPr>
    </w:p>
    <w:p w14:paraId="44920D0F" w14:textId="53918268" w:rsidR="005273DE" w:rsidRPr="005273DE" w:rsidRDefault="3E92F7B1" w:rsidP="6E83B9AD">
      <w:pPr>
        <w:pStyle w:val="Prrafodelista"/>
        <w:numPr>
          <w:ilvl w:val="0"/>
          <w:numId w:val="3"/>
        </w:numPr>
        <w:spacing w:line="240" w:lineRule="auto"/>
        <w:rPr>
          <w:rFonts w:ascii="Arial" w:eastAsia="Arial" w:hAnsi="Arial" w:cs="Arial"/>
          <w:lang w:val="es-ES"/>
        </w:rPr>
      </w:pPr>
      <w:r w:rsidRPr="33F8DE2A">
        <w:rPr>
          <w:rFonts w:ascii="Arial" w:eastAsia="Arial" w:hAnsi="Arial" w:cs="Arial"/>
          <w:lang w:val="es-ES"/>
        </w:rPr>
        <w:t>En</w:t>
      </w:r>
      <w:r w:rsidR="00D3515E" w:rsidRPr="33F8DE2A">
        <w:rPr>
          <w:rFonts w:ascii="Arial" w:eastAsia="Arial" w:hAnsi="Arial" w:cs="Arial"/>
          <w:lang w:val="es-ES"/>
        </w:rPr>
        <w:t xml:space="preserve"> Julio 2024</w:t>
      </w:r>
      <w:r w:rsidR="6BAEFCE2" w:rsidRPr="33F8DE2A">
        <w:rPr>
          <w:rFonts w:ascii="Arial" w:eastAsia="Arial" w:hAnsi="Arial" w:cs="Arial"/>
          <w:lang w:val="es-ES"/>
        </w:rPr>
        <w:t xml:space="preserve">, a través del </w:t>
      </w:r>
      <w:r w:rsidR="00D3515E" w:rsidRPr="33F8DE2A">
        <w:rPr>
          <w:rFonts w:ascii="Arial" w:eastAsia="Arial" w:hAnsi="Arial" w:cs="Arial"/>
          <w:lang w:val="es-ES"/>
        </w:rPr>
        <w:t xml:space="preserve">Informe de la Relatora Especial sobre los derechos de las personas con discapacidad se recomendó que los Estados deben establecer mecanismos abiertos, inclusivos, transparentes y accesibles a nivel nacional y subnacional, donde se mencione explícitamente a las personas con discapacidad, no usando términos generales como “grupos vulnerables” que dificulten su visibilidad. Asimismo, se debe garantizar la representación de personas con discapacidad en todos los órganos encargados del seguimiento y examen de los Objetivos del Desarrollo Sostenible. </w:t>
      </w:r>
      <w:r w:rsidR="2D1CAF1E" w:rsidRPr="33F8DE2A">
        <w:rPr>
          <w:rFonts w:ascii="Arial" w:eastAsia="Arial" w:hAnsi="Arial" w:cs="Arial"/>
          <w:lang w:val="es-ES"/>
        </w:rPr>
        <w:t>(</w:t>
      </w:r>
      <w:r w:rsidR="005273DE" w:rsidRPr="33F8DE2A">
        <w:rPr>
          <w:rFonts w:ascii="Arial" w:eastAsia="Arial" w:hAnsi="Arial" w:cs="Arial"/>
          <w:lang w:val="es-ES"/>
        </w:rPr>
        <w:t xml:space="preserve">Consulta el informe en el siguiente enlace: </w:t>
      </w:r>
      <w:hyperlink r:id="rId40">
        <w:r w:rsidR="005273DE" w:rsidRPr="33F8DE2A">
          <w:rPr>
            <w:rStyle w:val="Hipervnculo"/>
            <w:rFonts w:ascii="Arial" w:eastAsia="Arial" w:hAnsi="Arial" w:cs="Arial"/>
            <w:lang w:val="es-ES"/>
          </w:rPr>
          <w:t>https://documents.un.org/doc/undoc/gen/n24/213/59/pdf/n2421359.pdf</w:t>
        </w:r>
      </w:hyperlink>
      <w:r w:rsidR="05E808BE" w:rsidRPr="33F8DE2A">
        <w:rPr>
          <w:rFonts w:ascii="Arial" w:eastAsia="Arial" w:hAnsi="Arial" w:cs="Arial"/>
          <w:lang w:val="es-ES"/>
        </w:rPr>
        <w:t>).</w:t>
      </w:r>
    </w:p>
    <w:p w14:paraId="462859FF" w14:textId="07329538" w:rsidR="570D9321" w:rsidRDefault="570D9321" w:rsidP="6E83B9AD">
      <w:pPr>
        <w:spacing w:line="240" w:lineRule="auto"/>
        <w:rPr>
          <w:rFonts w:ascii="Arial" w:eastAsia="Arial" w:hAnsi="Arial" w:cs="Arial"/>
          <w:lang w:val="es-ES"/>
        </w:rPr>
      </w:pPr>
    </w:p>
    <w:p w14:paraId="69A89561" w14:textId="6A3E8802" w:rsidR="570D9321" w:rsidRPr="008827C3" w:rsidRDefault="00D3515E" w:rsidP="6E83B9AD">
      <w:pPr>
        <w:pStyle w:val="Prrafodelista"/>
        <w:numPr>
          <w:ilvl w:val="0"/>
          <w:numId w:val="3"/>
        </w:numPr>
        <w:spacing w:line="240" w:lineRule="auto"/>
        <w:rPr>
          <w:rFonts w:ascii="Arial" w:eastAsia="Arial" w:hAnsi="Arial" w:cs="Arial"/>
          <w:lang w:val="es-ES"/>
        </w:rPr>
      </w:pPr>
      <w:r w:rsidRPr="33F8DE2A">
        <w:rPr>
          <w:rFonts w:ascii="Arial" w:eastAsia="Arial" w:hAnsi="Arial" w:cs="Arial"/>
          <w:lang w:val="es-ES"/>
        </w:rPr>
        <w:t xml:space="preserve">El 18 de octubre de 2024 se publicó la Declaración conjunta sobre las desapariciones de corta duración con el propósito de visibilizar esta práctica y reconocer que, independientemente de la duración de una desaparición forzada, ésta produce graves daños y consecuencias para las personas desaparecidas y sus familias. </w:t>
      </w:r>
      <w:r w:rsidRPr="23B0D9C3">
        <w:rPr>
          <w:rFonts w:ascii="Arial" w:eastAsia="Arial" w:hAnsi="Arial" w:cs="Arial"/>
          <w:lang w:val="es-ES"/>
        </w:rPr>
        <w:t>A</w:t>
      </w:r>
      <w:r w:rsidR="7486292F" w:rsidRPr="23B0D9C3">
        <w:rPr>
          <w:rFonts w:ascii="Arial" w:eastAsia="Arial" w:hAnsi="Arial" w:cs="Arial"/>
          <w:lang w:val="es-ES"/>
        </w:rPr>
        <w:t>s</w:t>
      </w:r>
      <w:r w:rsidR="00AD331A">
        <w:rPr>
          <w:rFonts w:ascii="Arial" w:eastAsia="Arial" w:hAnsi="Arial" w:cs="Arial"/>
          <w:lang w:val="es-ES"/>
        </w:rPr>
        <w:t>i</w:t>
      </w:r>
      <w:r w:rsidR="7486292F" w:rsidRPr="23B0D9C3">
        <w:rPr>
          <w:rFonts w:ascii="Arial" w:eastAsia="Arial" w:hAnsi="Arial" w:cs="Arial"/>
          <w:lang w:val="es-ES"/>
        </w:rPr>
        <w:t>mismo</w:t>
      </w:r>
      <w:r w:rsidRPr="33F8DE2A">
        <w:rPr>
          <w:rFonts w:ascii="Arial" w:eastAsia="Arial" w:hAnsi="Arial" w:cs="Arial"/>
          <w:lang w:val="es-ES"/>
        </w:rPr>
        <w:t>, plantea los desafíos prácticos para buscar protección y defensa de sus derechos.</w:t>
      </w:r>
      <w:r w:rsidR="46343505" w:rsidRPr="33F8DE2A">
        <w:rPr>
          <w:rFonts w:ascii="Arial" w:eastAsia="Arial" w:hAnsi="Arial" w:cs="Arial"/>
          <w:lang w:val="es-ES"/>
        </w:rPr>
        <w:t xml:space="preserve"> </w:t>
      </w:r>
      <w:r w:rsidR="32C18E8D" w:rsidRPr="33F8DE2A">
        <w:rPr>
          <w:rFonts w:ascii="Arial" w:eastAsia="Arial" w:hAnsi="Arial" w:cs="Arial"/>
          <w:lang w:val="es-ES"/>
        </w:rPr>
        <w:t>(</w:t>
      </w:r>
      <w:r w:rsidR="005273DE" w:rsidRPr="33F8DE2A">
        <w:rPr>
          <w:rFonts w:ascii="Arial" w:eastAsia="Arial" w:hAnsi="Arial" w:cs="Arial"/>
          <w:lang w:val="es-ES"/>
        </w:rPr>
        <w:t xml:space="preserve">Consulta el informe en el siguiente enlace: </w:t>
      </w:r>
      <w:hyperlink r:id="rId41">
        <w:r w:rsidR="005273DE" w:rsidRPr="33F8DE2A">
          <w:rPr>
            <w:rStyle w:val="Hipervnculo"/>
            <w:rFonts w:ascii="Arial" w:eastAsia="Arial" w:hAnsi="Arial" w:cs="Arial"/>
            <w:lang w:val="es-ES"/>
          </w:rPr>
          <w:t>https://tbinternet.ohchr.org/_layouts/15/treatybodyexternal/Download.aspx?symbolno=CED%2FC%2F11&amp;Lang=en</w:t>
        </w:r>
      </w:hyperlink>
      <w:r w:rsidR="74B99973" w:rsidRPr="33F8DE2A">
        <w:rPr>
          <w:rFonts w:ascii="Arial" w:eastAsia="Arial" w:hAnsi="Arial" w:cs="Arial"/>
          <w:lang w:val="es-ES"/>
        </w:rPr>
        <w:t>)</w:t>
      </w:r>
    </w:p>
    <w:p w14:paraId="04BF2C62" w14:textId="0CE4F2D1" w:rsidR="570D9321" w:rsidRDefault="570D9321" w:rsidP="6E83B9AD">
      <w:pPr>
        <w:spacing w:line="240" w:lineRule="auto"/>
        <w:rPr>
          <w:rFonts w:ascii="Arial" w:eastAsia="Arial" w:hAnsi="Arial" w:cs="Arial"/>
          <w:lang w:val="es-ES"/>
        </w:rPr>
      </w:pPr>
    </w:p>
    <w:p w14:paraId="5C313D11" w14:textId="77777777" w:rsidR="00D72B80" w:rsidRPr="00D72B80" w:rsidRDefault="00D72B80" w:rsidP="6E83B9AD">
      <w:pPr>
        <w:pStyle w:val="Ttulo1"/>
        <w:spacing w:line="240" w:lineRule="auto"/>
        <w:rPr>
          <w:rFonts w:ascii="Arial" w:eastAsia="Arial" w:hAnsi="Arial" w:cs="Arial"/>
          <w:lang w:val="es-ES"/>
        </w:rPr>
      </w:pPr>
      <w:r w:rsidRPr="33F8DE2A">
        <w:rPr>
          <w:rFonts w:ascii="Arial" w:eastAsia="Arial" w:hAnsi="Arial" w:cs="Arial"/>
          <w:lang w:val="es-ES"/>
        </w:rPr>
        <w:t xml:space="preserve">Justicia internacional </w:t>
      </w:r>
    </w:p>
    <w:p w14:paraId="659AA780" w14:textId="6E2DFD15" w:rsidR="1690BA01" w:rsidRDefault="1690BA01" w:rsidP="6E83B9AD">
      <w:pPr>
        <w:spacing w:line="240" w:lineRule="auto"/>
        <w:rPr>
          <w:rFonts w:ascii="Arial" w:eastAsia="Arial" w:hAnsi="Arial" w:cs="Arial"/>
          <w:lang w:val="es-ES"/>
        </w:rPr>
      </w:pPr>
      <w:r w:rsidRPr="33F8DE2A">
        <w:rPr>
          <w:rFonts w:ascii="Arial" w:eastAsia="Arial" w:hAnsi="Arial" w:cs="Arial"/>
          <w:lang w:val="es-ES"/>
        </w:rPr>
        <w:t xml:space="preserve">En esta sección se </w:t>
      </w:r>
      <w:r w:rsidR="00AD331A" w:rsidRPr="33F8DE2A">
        <w:rPr>
          <w:rFonts w:ascii="Arial" w:eastAsia="Arial" w:hAnsi="Arial" w:cs="Arial"/>
          <w:lang w:val="es-ES"/>
        </w:rPr>
        <w:t>analizan</w:t>
      </w:r>
      <w:r w:rsidRPr="33F8DE2A">
        <w:rPr>
          <w:rFonts w:ascii="Arial" w:eastAsia="Arial" w:hAnsi="Arial" w:cs="Arial"/>
          <w:lang w:val="es-ES"/>
        </w:rPr>
        <w:t xml:space="preserve"> sentencias recientes emitidas por la </w:t>
      </w:r>
      <w:r w:rsidRPr="47D7B3DA">
        <w:rPr>
          <w:rFonts w:ascii="Arial" w:eastAsia="Arial" w:hAnsi="Arial" w:cs="Arial"/>
          <w:lang w:val="es-ES"/>
        </w:rPr>
        <w:t>C</w:t>
      </w:r>
      <w:r w:rsidR="140673F1" w:rsidRPr="47D7B3DA">
        <w:rPr>
          <w:rFonts w:ascii="Arial" w:eastAsia="Arial" w:hAnsi="Arial" w:cs="Arial"/>
          <w:lang w:val="es-ES"/>
        </w:rPr>
        <w:t xml:space="preserve">orte </w:t>
      </w:r>
      <w:r w:rsidR="046410E1" w:rsidRPr="47D7B3DA">
        <w:rPr>
          <w:rFonts w:ascii="Arial" w:eastAsia="Arial" w:hAnsi="Arial" w:cs="Arial"/>
          <w:lang w:val="es-ES"/>
        </w:rPr>
        <w:t>IDH</w:t>
      </w:r>
      <w:r w:rsidRPr="33F8DE2A">
        <w:rPr>
          <w:rFonts w:ascii="Arial" w:eastAsia="Arial" w:hAnsi="Arial" w:cs="Arial"/>
          <w:lang w:val="es-ES"/>
        </w:rPr>
        <w:t xml:space="preserve"> y el Tribunal Europeo de Derechos Humanos que abordan violaciones de derechos humanos y cuestiones de sostenibilidad ambiental.</w:t>
      </w:r>
    </w:p>
    <w:p w14:paraId="3A05F60B" w14:textId="3AA7D309" w:rsidR="005273DE" w:rsidRPr="005273DE" w:rsidRDefault="08AAE6EE" w:rsidP="6E83B9AD">
      <w:pPr>
        <w:pStyle w:val="Prrafodelista"/>
        <w:numPr>
          <w:ilvl w:val="0"/>
          <w:numId w:val="2"/>
        </w:numPr>
        <w:spacing w:line="240" w:lineRule="auto"/>
        <w:rPr>
          <w:rFonts w:ascii="Arial" w:eastAsia="Arial" w:hAnsi="Arial" w:cs="Arial"/>
          <w:lang w:val="es-ES"/>
        </w:rPr>
      </w:pPr>
      <w:r w:rsidRPr="33F8DE2A">
        <w:rPr>
          <w:rFonts w:ascii="Arial" w:eastAsia="Arial" w:hAnsi="Arial" w:cs="Arial"/>
          <w:lang w:val="es-ES"/>
        </w:rPr>
        <w:t xml:space="preserve">En el </w:t>
      </w:r>
      <w:r w:rsidR="1F3F8EBD" w:rsidRPr="33F8DE2A">
        <w:rPr>
          <w:rFonts w:ascii="Arial" w:eastAsia="Arial" w:hAnsi="Arial" w:cs="Arial"/>
          <w:lang w:val="es-ES"/>
        </w:rPr>
        <w:t xml:space="preserve">caso </w:t>
      </w:r>
      <w:r w:rsidR="00D72B80" w:rsidRPr="33F8DE2A">
        <w:rPr>
          <w:rFonts w:ascii="Arial" w:eastAsia="Arial" w:hAnsi="Arial" w:cs="Arial"/>
          <w:lang w:val="es-ES"/>
        </w:rPr>
        <w:t>Vega González y otros Vs. Chile</w:t>
      </w:r>
      <w:r w:rsidR="676EBE86" w:rsidRPr="33F8DE2A">
        <w:rPr>
          <w:rFonts w:ascii="Arial" w:eastAsia="Arial" w:hAnsi="Arial" w:cs="Arial"/>
          <w:lang w:val="es-ES"/>
        </w:rPr>
        <w:t>, sentencia del</w:t>
      </w:r>
      <w:r w:rsidR="00D72B80" w:rsidRPr="33F8DE2A">
        <w:rPr>
          <w:rFonts w:ascii="Arial" w:eastAsia="Arial" w:hAnsi="Arial" w:cs="Arial"/>
          <w:lang w:val="es-ES"/>
        </w:rPr>
        <w:t xml:space="preserve"> 12 de marzo de 2024</w:t>
      </w:r>
      <w:r w:rsidR="00FB21FB">
        <w:rPr>
          <w:rFonts w:ascii="Arial" w:eastAsia="Arial" w:hAnsi="Arial" w:cs="Arial"/>
          <w:lang w:val="es-ES"/>
        </w:rPr>
        <w:t xml:space="preserve">, </w:t>
      </w:r>
      <w:r w:rsidR="00FB21FB" w:rsidRPr="23B0D9C3">
        <w:rPr>
          <w:rFonts w:ascii="Arial" w:eastAsia="Arial" w:hAnsi="Arial" w:cs="Arial"/>
          <w:lang w:val="es-ES"/>
        </w:rPr>
        <w:t>l</w:t>
      </w:r>
      <w:r w:rsidR="00D72B80" w:rsidRPr="23B0D9C3">
        <w:rPr>
          <w:rFonts w:ascii="Arial" w:eastAsia="Arial" w:hAnsi="Arial" w:cs="Arial"/>
          <w:lang w:val="es-ES"/>
        </w:rPr>
        <w:t>a</w:t>
      </w:r>
      <w:r w:rsidR="00D72B80" w:rsidRPr="33F8DE2A">
        <w:rPr>
          <w:rFonts w:ascii="Arial" w:eastAsia="Arial" w:hAnsi="Arial" w:cs="Arial"/>
          <w:lang w:val="es-ES"/>
        </w:rPr>
        <w:t xml:space="preserve"> Corte Interamericana decretó la responsabilidad del Estado chileno por aplicar la figura de la “media prescripción” en casos de delitos de lesa humanidad cometidos durante la dictadura militar chilena, lo que llevó a la atenuación de las penas impuestas a los responsables, afectando los derechos de las víctimas y sus familiares. </w:t>
      </w:r>
      <w:r w:rsidR="31940C0F" w:rsidRPr="33F8DE2A">
        <w:rPr>
          <w:rFonts w:ascii="Arial" w:eastAsia="Arial" w:hAnsi="Arial" w:cs="Arial"/>
          <w:lang w:val="es-ES"/>
        </w:rPr>
        <w:t>(</w:t>
      </w:r>
      <w:r w:rsidR="3F7C2D0A" w:rsidRPr="695809F5">
        <w:rPr>
          <w:rFonts w:ascii="Arial" w:eastAsia="Arial" w:hAnsi="Arial" w:cs="Arial"/>
          <w:color w:val="333333"/>
          <w:lang w:val="es-ES"/>
        </w:rPr>
        <w:t>Para consultar</w:t>
      </w:r>
      <w:r w:rsidR="005273DE" w:rsidRPr="695809F5">
        <w:rPr>
          <w:rFonts w:ascii="Arial" w:eastAsia="Arial" w:hAnsi="Arial" w:cs="Arial"/>
          <w:color w:val="333333"/>
          <w:lang w:val="es-ES"/>
        </w:rPr>
        <w:t xml:space="preserve"> la sentencia </w:t>
      </w:r>
      <w:r w:rsidR="3F7C2D0A" w:rsidRPr="695809F5">
        <w:rPr>
          <w:rFonts w:ascii="Arial" w:eastAsia="Arial" w:hAnsi="Arial" w:cs="Arial"/>
          <w:color w:val="333333"/>
          <w:lang w:val="es-ES"/>
        </w:rPr>
        <w:t>completa,</w:t>
      </w:r>
      <w:r w:rsidR="005273DE" w:rsidRPr="695809F5">
        <w:rPr>
          <w:rFonts w:ascii="Arial" w:eastAsia="Arial" w:hAnsi="Arial" w:cs="Arial"/>
          <w:color w:val="333333"/>
          <w:lang w:val="es-ES"/>
        </w:rPr>
        <w:t xml:space="preserve"> enlace</w:t>
      </w:r>
      <w:r w:rsidR="3F7C2D0A" w:rsidRPr="695809F5">
        <w:rPr>
          <w:rFonts w:ascii="Arial" w:eastAsia="Arial" w:hAnsi="Arial" w:cs="Arial"/>
          <w:color w:val="333333"/>
          <w:lang w:val="es-ES"/>
        </w:rPr>
        <w:t xml:space="preserve"> aquí</w:t>
      </w:r>
      <w:r w:rsidR="005273DE" w:rsidRPr="33F8DE2A">
        <w:rPr>
          <w:rFonts w:ascii="Arial" w:eastAsia="Arial" w:hAnsi="Arial" w:cs="Arial"/>
          <w:lang w:val="es-ES"/>
        </w:rPr>
        <w:t xml:space="preserve">: </w:t>
      </w:r>
      <w:hyperlink r:id="rId42">
        <w:r w:rsidR="005273DE" w:rsidRPr="33F8DE2A">
          <w:rPr>
            <w:rStyle w:val="Hipervnculo"/>
            <w:rFonts w:ascii="Arial" w:eastAsia="Arial" w:hAnsi="Arial" w:cs="Arial"/>
            <w:lang w:val="es-ES"/>
          </w:rPr>
          <w:t>https://www.corteidh.or.cr/docs/casos/articulos/seriec_519_esp.pdf</w:t>
        </w:r>
      </w:hyperlink>
      <w:r w:rsidR="43D05C38" w:rsidRPr="33F8DE2A">
        <w:rPr>
          <w:rFonts w:ascii="Arial" w:eastAsia="Arial" w:hAnsi="Arial" w:cs="Arial"/>
          <w:lang w:val="es-ES"/>
        </w:rPr>
        <w:t>).</w:t>
      </w:r>
    </w:p>
    <w:p w14:paraId="405B50F9" w14:textId="1187328A" w:rsidR="570D9321" w:rsidRDefault="570D9321" w:rsidP="6E83B9AD">
      <w:pPr>
        <w:pStyle w:val="Prrafodelista"/>
        <w:spacing w:line="240" w:lineRule="auto"/>
        <w:rPr>
          <w:rFonts w:ascii="Arial" w:eastAsia="Arial" w:hAnsi="Arial" w:cs="Arial"/>
          <w:lang w:val="es-ES"/>
        </w:rPr>
      </w:pPr>
    </w:p>
    <w:p w14:paraId="2CFE9FBC" w14:textId="02C785C8" w:rsidR="005273DE" w:rsidRPr="005273DE" w:rsidRDefault="7B702466" w:rsidP="6E83B9AD">
      <w:pPr>
        <w:pStyle w:val="Prrafodelista"/>
        <w:numPr>
          <w:ilvl w:val="0"/>
          <w:numId w:val="2"/>
        </w:numPr>
        <w:spacing w:line="240" w:lineRule="auto"/>
        <w:rPr>
          <w:rFonts w:ascii="Arial" w:eastAsia="Arial" w:hAnsi="Arial" w:cs="Arial"/>
          <w:lang w:val="es-ES"/>
        </w:rPr>
      </w:pPr>
      <w:r w:rsidRPr="33F8DE2A">
        <w:rPr>
          <w:rFonts w:ascii="Arial" w:eastAsia="Arial" w:hAnsi="Arial" w:cs="Arial"/>
          <w:lang w:val="es-ES"/>
        </w:rPr>
        <w:t>A través de</w:t>
      </w:r>
      <w:r w:rsidR="4D6842F2" w:rsidRPr="33F8DE2A">
        <w:rPr>
          <w:rFonts w:ascii="Arial" w:eastAsia="Arial" w:hAnsi="Arial" w:cs="Arial"/>
          <w:lang w:val="es-ES"/>
        </w:rPr>
        <w:t xml:space="preserve">l </w:t>
      </w:r>
      <w:r w:rsidR="72B2E3E7" w:rsidRPr="33F8DE2A">
        <w:rPr>
          <w:rFonts w:ascii="Arial" w:eastAsia="Arial" w:hAnsi="Arial" w:cs="Arial"/>
          <w:lang w:val="es-ES"/>
        </w:rPr>
        <w:t xml:space="preserve">caso </w:t>
      </w:r>
      <w:proofErr w:type="spellStart"/>
      <w:r w:rsidR="00D72B80" w:rsidRPr="33F8DE2A">
        <w:rPr>
          <w:rFonts w:ascii="Arial" w:eastAsia="Arial" w:hAnsi="Arial" w:cs="Arial"/>
          <w:lang w:val="es-ES"/>
        </w:rPr>
        <w:t>Yangali</w:t>
      </w:r>
      <w:proofErr w:type="spellEnd"/>
      <w:r w:rsidR="00D72B80" w:rsidRPr="33F8DE2A">
        <w:rPr>
          <w:rFonts w:ascii="Arial" w:eastAsia="Arial" w:hAnsi="Arial" w:cs="Arial"/>
          <w:lang w:val="es-ES"/>
        </w:rPr>
        <w:t xml:space="preserve"> Iparraguirre Vs. </w:t>
      </w:r>
      <w:r w:rsidR="5F48A0BA" w:rsidRPr="33F8DE2A">
        <w:rPr>
          <w:rFonts w:ascii="Arial" w:eastAsia="Arial" w:hAnsi="Arial" w:cs="Arial"/>
          <w:lang w:val="es-ES"/>
        </w:rPr>
        <w:t>Perú</w:t>
      </w:r>
      <w:r w:rsidR="5F55738E" w:rsidRPr="33F8DE2A">
        <w:rPr>
          <w:rFonts w:ascii="Arial" w:eastAsia="Arial" w:hAnsi="Arial" w:cs="Arial"/>
          <w:lang w:val="es-ES"/>
        </w:rPr>
        <w:t>, s</w:t>
      </w:r>
      <w:r w:rsidR="21AF9720" w:rsidRPr="33F8DE2A">
        <w:rPr>
          <w:rFonts w:ascii="Arial" w:eastAsia="Arial" w:hAnsi="Arial" w:cs="Arial"/>
          <w:lang w:val="es-ES"/>
        </w:rPr>
        <w:t xml:space="preserve">entencia del </w:t>
      </w:r>
      <w:r w:rsidR="00D72B80" w:rsidRPr="33F8DE2A">
        <w:rPr>
          <w:rFonts w:ascii="Arial" w:eastAsia="Arial" w:hAnsi="Arial" w:cs="Arial"/>
          <w:lang w:val="es-ES"/>
        </w:rPr>
        <w:t>11 de marzo de 2024</w:t>
      </w:r>
      <w:r w:rsidR="00B69B03" w:rsidRPr="33F8DE2A">
        <w:rPr>
          <w:rFonts w:ascii="Arial" w:eastAsia="Arial" w:hAnsi="Arial" w:cs="Arial"/>
          <w:lang w:val="es-ES"/>
        </w:rPr>
        <w:t>, la Corte IDH</w:t>
      </w:r>
      <w:r w:rsidR="6551E85F" w:rsidRPr="33F8DE2A">
        <w:rPr>
          <w:rFonts w:ascii="Arial" w:eastAsia="Arial" w:hAnsi="Arial" w:cs="Arial"/>
          <w:lang w:val="es-ES"/>
        </w:rPr>
        <w:t xml:space="preserve"> </w:t>
      </w:r>
      <w:r w:rsidR="00B69B03" w:rsidRPr="33F8DE2A">
        <w:rPr>
          <w:rFonts w:ascii="Arial" w:eastAsia="Arial" w:hAnsi="Arial" w:cs="Arial"/>
          <w:lang w:val="es-ES"/>
        </w:rPr>
        <w:t xml:space="preserve">condenó a </w:t>
      </w:r>
      <w:r w:rsidR="00D72B80" w:rsidRPr="33F8DE2A">
        <w:rPr>
          <w:rFonts w:ascii="Arial" w:eastAsia="Arial" w:hAnsi="Arial" w:cs="Arial"/>
          <w:lang w:val="es-ES"/>
        </w:rPr>
        <w:t xml:space="preserve">Perú internacionalmente como consecuencia de haber incumplido con la sentencia judicial que ordenaba el pago de indemnización por daños y perjuicios a favor Gino Ernesto </w:t>
      </w:r>
      <w:proofErr w:type="spellStart"/>
      <w:r w:rsidR="00D72B80" w:rsidRPr="33F8DE2A">
        <w:rPr>
          <w:rFonts w:ascii="Arial" w:eastAsia="Arial" w:hAnsi="Arial" w:cs="Arial"/>
          <w:lang w:val="es-ES"/>
        </w:rPr>
        <w:t>Yangali</w:t>
      </w:r>
      <w:proofErr w:type="spellEnd"/>
      <w:r w:rsidR="00D72B80" w:rsidRPr="33F8DE2A">
        <w:rPr>
          <w:rFonts w:ascii="Arial" w:eastAsia="Arial" w:hAnsi="Arial" w:cs="Arial"/>
          <w:lang w:val="es-ES"/>
        </w:rPr>
        <w:t xml:space="preserve"> </w:t>
      </w:r>
      <w:proofErr w:type="spellStart"/>
      <w:r w:rsidR="00D72B80" w:rsidRPr="33F8DE2A">
        <w:rPr>
          <w:rFonts w:ascii="Arial" w:eastAsia="Arial" w:hAnsi="Arial" w:cs="Arial"/>
          <w:lang w:val="es-ES"/>
        </w:rPr>
        <w:t>Ipaguirre</w:t>
      </w:r>
      <w:proofErr w:type="spellEnd"/>
      <w:r w:rsidR="00D72B80" w:rsidRPr="33F8DE2A">
        <w:rPr>
          <w:rFonts w:ascii="Arial" w:eastAsia="Arial" w:hAnsi="Arial" w:cs="Arial"/>
          <w:lang w:val="es-ES"/>
        </w:rPr>
        <w:t xml:space="preserve"> después de haber sido sustituido arbitrariamente de su cargo de magistrado de la Corte Superior de Justicia de Lima. </w:t>
      </w:r>
      <w:r w:rsidR="57EA707A" w:rsidRPr="40A08B01">
        <w:rPr>
          <w:rFonts w:ascii="Arial" w:eastAsia="Arial" w:hAnsi="Arial" w:cs="Arial"/>
          <w:lang w:val="es-ES"/>
        </w:rPr>
        <w:t>(</w:t>
      </w:r>
      <w:r w:rsidR="34C15DC4" w:rsidRPr="40A08B01">
        <w:rPr>
          <w:rFonts w:ascii="Arial" w:eastAsia="Arial" w:hAnsi="Arial" w:cs="Arial"/>
          <w:color w:val="333333"/>
          <w:lang w:val="es-ES"/>
        </w:rPr>
        <w:t>Para consultar</w:t>
      </w:r>
      <w:r w:rsidR="005273DE" w:rsidRPr="40A08B01">
        <w:rPr>
          <w:rFonts w:ascii="Arial" w:eastAsia="Arial" w:hAnsi="Arial" w:cs="Arial"/>
          <w:color w:val="333333"/>
          <w:lang w:val="es-ES"/>
        </w:rPr>
        <w:t xml:space="preserve"> la sentencia </w:t>
      </w:r>
      <w:r w:rsidR="34C15DC4" w:rsidRPr="40A08B01">
        <w:rPr>
          <w:rFonts w:ascii="Arial" w:eastAsia="Arial" w:hAnsi="Arial" w:cs="Arial"/>
          <w:color w:val="333333"/>
          <w:lang w:val="es-ES"/>
        </w:rPr>
        <w:t>completa,</w:t>
      </w:r>
      <w:r w:rsidR="005273DE" w:rsidRPr="40A08B01">
        <w:rPr>
          <w:rFonts w:ascii="Arial" w:eastAsia="Arial" w:hAnsi="Arial" w:cs="Arial"/>
          <w:color w:val="333333"/>
          <w:lang w:val="es-ES"/>
        </w:rPr>
        <w:t xml:space="preserve"> enlace</w:t>
      </w:r>
      <w:r w:rsidR="34C15DC4" w:rsidRPr="40A08B01">
        <w:rPr>
          <w:rFonts w:ascii="Arial" w:eastAsia="Arial" w:hAnsi="Arial" w:cs="Arial"/>
          <w:color w:val="333333"/>
          <w:lang w:val="es-ES"/>
        </w:rPr>
        <w:t xml:space="preserve"> aquí</w:t>
      </w:r>
      <w:r w:rsidR="005273DE" w:rsidRPr="33F8DE2A">
        <w:rPr>
          <w:rFonts w:ascii="Arial" w:eastAsia="Arial" w:hAnsi="Arial" w:cs="Arial"/>
          <w:lang w:val="es-ES"/>
        </w:rPr>
        <w:t>:</w:t>
      </w:r>
      <w:r w:rsidR="005F0AF0" w:rsidRPr="33F8DE2A">
        <w:rPr>
          <w:rFonts w:ascii="Arial" w:eastAsia="Arial" w:hAnsi="Arial" w:cs="Arial"/>
          <w:lang w:val="es-ES"/>
        </w:rPr>
        <w:t xml:space="preserve"> </w:t>
      </w:r>
      <w:hyperlink r:id="rId43">
        <w:r w:rsidR="005F0AF0" w:rsidRPr="33F8DE2A">
          <w:rPr>
            <w:rStyle w:val="Hipervnculo"/>
            <w:rFonts w:ascii="Arial" w:eastAsia="Arial" w:hAnsi="Arial" w:cs="Arial"/>
            <w:lang w:val="es-ES"/>
          </w:rPr>
          <w:t>https://corteidh.or.cr/docs/casos/articulos/seriec_518_esp.pdf</w:t>
        </w:r>
      </w:hyperlink>
      <w:r w:rsidR="1EFEB653" w:rsidRPr="33F8DE2A">
        <w:rPr>
          <w:rFonts w:ascii="Arial" w:eastAsia="Arial" w:hAnsi="Arial" w:cs="Arial"/>
          <w:lang w:val="es-ES"/>
        </w:rPr>
        <w:t>).</w:t>
      </w:r>
    </w:p>
    <w:p w14:paraId="3C269C52" w14:textId="485FC33C" w:rsidR="570D9321" w:rsidRDefault="570D9321" w:rsidP="6E83B9AD">
      <w:pPr>
        <w:pStyle w:val="Prrafodelista"/>
        <w:spacing w:line="240" w:lineRule="auto"/>
        <w:rPr>
          <w:rFonts w:ascii="Arial" w:eastAsia="Arial" w:hAnsi="Arial" w:cs="Arial"/>
          <w:lang w:val="es-ES"/>
        </w:rPr>
      </w:pPr>
    </w:p>
    <w:p w14:paraId="2261E3B6" w14:textId="6D72C435" w:rsidR="005273DE" w:rsidRPr="005273DE" w:rsidRDefault="36EE9297" w:rsidP="6E83B9AD">
      <w:pPr>
        <w:pStyle w:val="Prrafodelista"/>
        <w:numPr>
          <w:ilvl w:val="0"/>
          <w:numId w:val="2"/>
        </w:numPr>
        <w:spacing w:line="240" w:lineRule="auto"/>
        <w:rPr>
          <w:rFonts w:ascii="Arial" w:eastAsia="Arial" w:hAnsi="Arial" w:cs="Arial"/>
          <w:lang w:val="es-ES"/>
        </w:rPr>
      </w:pPr>
      <w:r w:rsidRPr="33F8DE2A">
        <w:rPr>
          <w:rFonts w:ascii="Arial" w:eastAsia="Arial" w:hAnsi="Arial" w:cs="Arial"/>
          <w:lang w:val="es-ES"/>
        </w:rPr>
        <w:t xml:space="preserve">Mediante el </w:t>
      </w:r>
      <w:r w:rsidR="013DC1DF" w:rsidRPr="33F8DE2A">
        <w:rPr>
          <w:rFonts w:ascii="Arial" w:eastAsia="Arial" w:hAnsi="Arial" w:cs="Arial"/>
          <w:lang w:val="es-ES"/>
        </w:rPr>
        <w:t xml:space="preserve">caso </w:t>
      </w:r>
      <w:proofErr w:type="spellStart"/>
      <w:r w:rsidR="00D72B80" w:rsidRPr="33F8DE2A">
        <w:rPr>
          <w:rFonts w:ascii="Arial" w:eastAsia="Arial" w:hAnsi="Arial" w:cs="Arial"/>
          <w:lang w:val="es-ES"/>
        </w:rPr>
        <w:t>Poggioli</w:t>
      </w:r>
      <w:proofErr w:type="spellEnd"/>
      <w:r w:rsidR="00D72B80" w:rsidRPr="33F8DE2A">
        <w:rPr>
          <w:rFonts w:ascii="Arial" w:eastAsia="Arial" w:hAnsi="Arial" w:cs="Arial"/>
          <w:lang w:val="es-ES"/>
        </w:rPr>
        <w:t xml:space="preserve"> Pérez Vs. Venezuela</w:t>
      </w:r>
      <w:r w:rsidR="31BB2F57" w:rsidRPr="33F8DE2A">
        <w:rPr>
          <w:rFonts w:ascii="Arial" w:eastAsia="Arial" w:hAnsi="Arial" w:cs="Arial"/>
          <w:lang w:val="es-ES"/>
        </w:rPr>
        <w:t>, s</w:t>
      </w:r>
      <w:r w:rsidR="00D72B80" w:rsidRPr="33F8DE2A">
        <w:rPr>
          <w:rFonts w:ascii="Arial" w:eastAsia="Arial" w:hAnsi="Arial" w:cs="Arial"/>
          <w:lang w:val="es-ES"/>
        </w:rPr>
        <w:t>entencia de 29 de abril de 2024</w:t>
      </w:r>
      <w:r w:rsidR="31EB8A75" w:rsidRPr="33F8DE2A">
        <w:rPr>
          <w:rFonts w:ascii="Arial" w:eastAsia="Arial" w:hAnsi="Arial" w:cs="Arial"/>
          <w:lang w:val="es-ES"/>
        </w:rPr>
        <w:t>, l</w:t>
      </w:r>
      <w:r w:rsidR="00D72B80" w:rsidRPr="33F8DE2A">
        <w:rPr>
          <w:rFonts w:ascii="Arial" w:eastAsia="Arial" w:hAnsi="Arial" w:cs="Arial"/>
          <w:lang w:val="es-ES"/>
        </w:rPr>
        <w:t xml:space="preserve">a Corte Interamericana decretó la responsabilidad Internacional del Estado de Venezuela por las vulneraciones de derechos humanos como consecuencia de la detención arbitraria del General en retiro Ovidio </w:t>
      </w:r>
      <w:proofErr w:type="spellStart"/>
      <w:r w:rsidR="00D72B80" w:rsidRPr="33F8DE2A">
        <w:rPr>
          <w:rFonts w:ascii="Arial" w:eastAsia="Arial" w:hAnsi="Arial" w:cs="Arial"/>
          <w:lang w:val="es-ES"/>
        </w:rPr>
        <w:t>Poggioli</w:t>
      </w:r>
      <w:proofErr w:type="spellEnd"/>
      <w:r w:rsidR="00D72B80" w:rsidRPr="33F8DE2A">
        <w:rPr>
          <w:rFonts w:ascii="Arial" w:eastAsia="Arial" w:hAnsi="Arial" w:cs="Arial"/>
          <w:lang w:val="es-ES"/>
        </w:rPr>
        <w:t xml:space="preserve"> Pérez y las afectaciones a los derechos de integridad personal, honra y garantías judiciales durante los procesos penales en la jurisdicción militar. </w:t>
      </w:r>
      <w:r w:rsidR="5BD76F7F" w:rsidRPr="0B355E5F">
        <w:rPr>
          <w:rFonts w:ascii="Arial" w:eastAsia="Arial" w:hAnsi="Arial" w:cs="Arial"/>
          <w:lang w:val="es-ES"/>
        </w:rPr>
        <w:t>(</w:t>
      </w:r>
      <w:r w:rsidR="4948A4EC" w:rsidRPr="0B355E5F">
        <w:rPr>
          <w:rFonts w:ascii="Arial" w:eastAsia="Arial" w:hAnsi="Arial" w:cs="Arial"/>
          <w:color w:val="333333"/>
          <w:lang w:val="es-ES"/>
        </w:rPr>
        <w:t>Para consultar</w:t>
      </w:r>
      <w:r w:rsidR="005273DE" w:rsidRPr="0B355E5F">
        <w:rPr>
          <w:rFonts w:ascii="Arial" w:eastAsia="Arial" w:hAnsi="Arial" w:cs="Arial"/>
          <w:color w:val="333333"/>
          <w:lang w:val="es-ES"/>
        </w:rPr>
        <w:t xml:space="preserve"> la sentencia </w:t>
      </w:r>
      <w:r w:rsidR="4948A4EC" w:rsidRPr="0B355E5F">
        <w:rPr>
          <w:rFonts w:ascii="Arial" w:eastAsia="Arial" w:hAnsi="Arial" w:cs="Arial"/>
          <w:color w:val="333333"/>
          <w:lang w:val="es-ES"/>
        </w:rPr>
        <w:t>completa,</w:t>
      </w:r>
      <w:r w:rsidR="005273DE" w:rsidRPr="0B355E5F">
        <w:rPr>
          <w:rFonts w:ascii="Arial" w:eastAsia="Arial" w:hAnsi="Arial" w:cs="Arial"/>
          <w:color w:val="333333"/>
          <w:lang w:val="es-ES"/>
        </w:rPr>
        <w:t xml:space="preserve"> enlace</w:t>
      </w:r>
      <w:r w:rsidR="4948A4EC" w:rsidRPr="0B355E5F">
        <w:rPr>
          <w:rFonts w:ascii="Arial" w:eastAsia="Arial" w:hAnsi="Arial" w:cs="Arial"/>
          <w:color w:val="333333"/>
          <w:lang w:val="es-ES"/>
        </w:rPr>
        <w:t xml:space="preserve"> aquí</w:t>
      </w:r>
      <w:r w:rsidR="005273DE" w:rsidRPr="33F8DE2A">
        <w:rPr>
          <w:rFonts w:ascii="Arial" w:eastAsia="Arial" w:hAnsi="Arial" w:cs="Arial"/>
          <w:lang w:val="es-ES"/>
        </w:rPr>
        <w:t>:</w:t>
      </w:r>
      <w:r w:rsidR="005F0AF0" w:rsidRPr="33F8DE2A">
        <w:rPr>
          <w:rFonts w:ascii="Arial" w:eastAsia="Arial" w:hAnsi="Arial" w:cs="Arial"/>
          <w:lang w:val="es-ES"/>
        </w:rPr>
        <w:t xml:space="preserve"> </w:t>
      </w:r>
      <w:hyperlink r:id="rId44">
        <w:r w:rsidR="005F0AF0" w:rsidRPr="33F8DE2A">
          <w:rPr>
            <w:rStyle w:val="Hipervnculo"/>
            <w:rFonts w:ascii="Arial" w:eastAsia="Arial" w:hAnsi="Arial" w:cs="Arial"/>
            <w:lang w:val="es-ES"/>
          </w:rPr>
          <w:t>https://corteidh.or.cr/docs/casos/articulos/seriec_523_esp.pdf</w:t>
        </w:r>
      </w:hyperlink>
      <w:r w:rsidR="63422CCE" w:rsidRPr="33F8DE2A">
        <w:rPr>
          <w:rFonts w:ascii="Arial" w:eastAsia="Arial" w:hAnsi="Arial" w:cs="Arial"/>
          <w:lang w:val="es-ES"/>
        </w:rPr>
        <w:t>).</w:t>
      </w:r>
    </w:p>
    <w:p w14:paraId="01375E20" w14:textId="46BFC350" w:rsidR="570D9321" w:rsidRDefault="570D9321" w:rsidP="6E83B9AD">
      <w:pPr>
        <w:pStyle w:val="Prrafodelista"/>
        <w:spacing w:line="240" w:lineRule="auto"/>
        <w:rPr>
          <w:rFonts w:ascii="Arial" w:eastAsia="Arial" w:hAnsi="Arial" w:cs="Arial"/>
          <w:lang w:val="es-ES"/>
        </w:rPr>
      </w:pPr>
    </w:p>
    <w:p w14:paraId="18632BD0" w14:textId="13A78CB9" w:rsidR="005273DE" w:rsidRPr="005273DE" w:rsidRDefault="0234A82C" w:rsidP="6E83B9AD">
      <w:pPr>
        <w:pStyle w:val="Prrafodelista"/>
        <w:numPr>
          <w:ilvl w:val="0"/>
          <w:numId w:val="2"/>
        </w:numPr>
        <w:spacing w:line="240" w:lineRule="auto"/>
        <w:rPr>
          <w:rFonts w:ascii="Arial" w:eastAsia="Arial" w:hAnsi="Arial" w:cs="Arial"/>
          <w:lang w:val="es-ES"/>
        </w:rPr>
      </w:pPr>
      <w:r w:rsidRPr="33F8DE2A">
        <w:rPr>
          <w:rFonts w:ascii="Arial" w:eastAsia="Arial" w:hAnsi="Arial" w:cs="Arial"/>
          <w:lang w:val="es-ES"/>
        </w:rPr>
        <w:t xml:space="preserve">En el </w:t>
      </w:r>
      <w:r w:rsidR="3D8B2754" w:rsidRPr="33F8DE2A">
        <w:rPr>
          <w:rFonts w:ascii="Arial" w:eastAsia="Arial" w:hAnsi="Arial" w:cs="Arial"/>
          <w:lang w:val="es-ES"/>
        </w:rPr>
        <w:t xml:space="preserve">caso </w:t>
      </w:r>
      <w:r w:rsidR="00D72B80" w:rsidRPr="33F8DE2A">
        <w:rPr>
          <w:rFonts w:ascii="Arial" w:eastAsia="Arial" w:hAnsi="Arial" w:cs="Arial"/>
          <w:lang w:val="es-ES"/>
        </w:rPr>
        <w:t>Hidalgo y otros Vs. Ecuador</w:t>
      </w:r>
      <w:r w:rsidR="78692437" w:rsidRPr="33F8DE2A">
        <w:rPr>
          <w:rFonts w:ascii="Arial" w:eastAsia="Arial" w:hAnsi="Arial" w:cs="Arial"/>
          <w:lang w:val="es-ES"/>
        </w:rPr>
        <w:t>, s</w:t>
      </w:r>
      <w:r w:rsidR="00D72B80" w:rsidRPr="33F8DE2A">
        <w:rPr>
          <w:rFonts w:ascii="Arial" w:eastAsia="Arial" w:hAnsi="Arial" w:cs="Arial"/>
          <w:lang w:val="es-ES"/>
        </w:rPr>
        <w:t>entencia de 28 de agosto de 2024</w:t>
      </w:r>
      <w:r w:rsidR="3E15FE85" w:rsidRPr="33F8DE2A">
        <w:rPr>
          <w:rFonts w:ascii="Arial" w:eastAsia="Arial" w:hAnsi="Arial" w:cs="Arial"/>
          <w:lang w:val="es-ES"/>
        </w:rPr>
        <w:t>, l</w:t>
      </w:r>
      <w:r w:rsidR="00D72B80" w:rsidRPr="33F8DE2A">
        <w:rPr>
          <w:rFonts w:ascii="Arial" w:eastAsia="Arial" w:hAnsi="Arial" w:cs="Arial"/>
          <w:lang w:val="es-ES"/>
        </w:rPr>
        <w:t xml:space="preserve">a Corte evaluó la responsabilidad </w:t>
      </w:r>
      <w:r w:rsidR="67CD5E81" w:rsidRPr="23B0D9C3">
        <w:rPr>
          <w:rFonts w:ascii="Arial" w:eastAsia="Arial" w:hAnsi="Arial" w:cs="Arial"/>
          <w:lang w:val="es-ES"/>
        </w:rPr>
        <w:t>del Estado debido a una</w:t>
      </w:r>
      <w:r w:rsidR="00D72B80" w:rsidRPr="33F8DE2A">
        <w:rPr>
          <w:rFonts w:ascii="Arial" w:eastAsia="Arial" w:hAnsi="Arial" w:cs="Arial"/>
          <w:lang w:val="es-ES"/>
        </w:rPr>
        <w:t xml:space="preserve"> falta de una investigación oportuna, lo cual impactó negativamente a sus familiares, quienes enfrentaron una larga espera por justicia. El Estado reconoció su responsabilidad en la violación de derechos a la vida, integridad personal y garantías judiciales de Hidalgo, así como su obligación de repara</w:t>
      </w:r>
      <w:r w:rsidR="00CE2474">
        <w:rPr>
          <w:rFonts w:ascii="Arial" w:eastAsia="Arial" w:hAnsi="Arial" w:cs="Arial"/>
          <w:lang w:val="es-ES"/>
        </w:rPr>
        <w:t>r</w:t>
      </w:r>
      <w:r w:rsidR="00D72B80" w:rsidRPr="33F8DE2A">
        <w:rPr>
          <w:rFonts w:ascii="Arial" w:eastAsia="Arial" w:hAnsi="Arial" w:cs="Arial"/>
          <w:lang w:val="es-ES"/>
        </w:rPr>
        <w:t xml:space="preserve">. </w:t>
      </w:r>
      <w:r w:rsidR="211153DD" w:rsidRPr="734B0D4E">
        <w:rPr>
          <w:rFonts w:ascii="Arial" w:eastAsia="Arial" w:hAnsi="Arial" w:cs="Arial"/>
          <w:lang w:val="es-ES"/>
        </w:rPr>
        <w:t>(</w:t>
      </w:r>
      <w:r w:rsidR="4194C516" w:rsidRPr="734B0D4E">
        <w:rPr>
          <w:rFonts w:ascii="Arial" w:eastAsia="Arial" w:hAnsi="Arial" w:cs="Arial"/>
          <w:color w:val="333333"/>
          <w:lang w:val="es-ES"/>
        </w:rPr>
        <w:t>Para consultar</w:t>
      </w:r>
      <w:r w:rsidR="005273DE" w:rsidRPr="734B0D4E">
        <w:rPr>
          <w:rFonts w:ascii="Arial" w:eastAsia="Arial" w:hAnsi="Arial" w:cs="Arial"/>
          <w:color w:val="333333"/>
          <w:lang w:val="es-ES"/>
        </w:rPr>
        <w:t xml:space="preserve"> la sentencia </w:t>
      </w:r>
      <w:r w:rsidR="4194C516" w:rsidRPr="734B0D4E">
        <w:rPr>
          <w:rFonts w:ascii="Arial" w:eastAsia="Arial" w:hAnsi="Arial" w:cs="Arial"/>
          <w:color w:val="333333"/>
          <w:lang w:val="es-ES"/>
        </w:rPr>
        <w:t>completa,</w:t>
      </w:r>
      <w:r w:rsidR="005273DE" w:rsidRPr="734B0D4E">
        <w:rPr>
          <w:rFonts w:ascii="Arial" w:eastAsia="Arial" w:hAnsi="Arial" w:cs="Arial"/>
          <w:color w:val="333333"/>
          <w:lang w:val="es-ES"/>
        </w:rPr>
        <w:t xml:space="preserve"> enlace</w:t>
      </w:r>
      <w:r w:rsidR="4194C516" w:rsidRPr="734B0D4E">
        <w:rPr>
          <w:rFonts w:ascii="Arial" w:eastAsia="Arial" w:hAnsi="Arial" w:cs="Arial"/>
          <w:color w:val="333333"/>
          <w:lang w:val="es-ES"/>
        </w:rPr>
        <w:t xml:space="preserve"> aquí</w:t>
      </w:r>
      <w:r w:rsidR="005273DE" w:rsidRPr="33F8DE2A">
        <w:rPr>
          <w:rFonts w:ascii="Arial" w:eastAsia="Arial" w:hAnsi="Arial" w:cs="Arial"/>
          <w:lang w:val="es-ES"/>
        </w:rPr>
        <w:t>:</w:t>
      </w:r>
      <w:r w:rsidR="005F0AF0" w:rsidRPr="33F8DE2A">
        <w:rPr>
          <w:rFonts w:ascii="Arial" w:eastAsia="Arial" w:hAnsi="Arial" w:cs="Arial"/>
          <w:lang w:val="es-ES"/>
        </w:rPr>
        <w:t xml:space="preserve"> </w:t>
      </w:r>
      <w:hyperlink r:id="rId45">
        <w:r w:rsidR="005F0AF0" w:rsidRPr="33F8DE2A">
          <w:rPr>
            <w:rStyle w:val="Hipervnculo"/>
            <w:rFonts w:ascii="Arial" w:eastAsia="Arial" w:hAnsi="Arial" w:cs="Arial"/>
            <w:lang w:val="es-ES"/>
          </w:rPr>
          <w:t>https://www.corteidh.or.cr/docs/casos/articulos/seriec_534_esp.pdf</w:t>
        </w:r>
      </w:hyperlink>
      <w:r w:rsidR="652FEA83" w:rsidRPr="33F8DE2A">
        <w:rPr>
          <w:rFonts w:ascii="Arial" w:eastAsia="Arial" w:hAnsi="Arial" w:cs="Arial"/>
          <w:lang w:val="es-ES"/>
        </w:rPr>
        <w:t>).</w:t>
      </w:r>
    </w:p>
    <w:p w14:paraId="626E4F3A" w14:textId="043F1674" w:rsidR="005273DE" w:rsidRPr="005273DE" w:rsidRDefault="005273DE" w:rsidP="6E83B9AD">
      <w:pPr>
        <w:pStyle w:val="Prrafodelista"/>
        <w:spacing w:line="240" w:lineRule="auto"/>
        <w:rPr>
          <w:rFonts w:ascii="Arial" w:eastAsia="Arial" w:hAnsi="Arial" w:cs="Arial"/>
          <w:lang w:val="es-ES"/>
        </w:rPr>
      </w:pPr>
    </w:p>
    <w:p w14:paraId="65D67E71" w14:textId="4E1A1D4F" w:rsidR="005273DE" w:rsidRPr="005273DE" w:rsidRDefault="04D10FEF" w:rsidP="6E83B9AD">
      <w:pPr>
        <w:pStyle w:val="Prrafodelista"/>
        <w:numPr>
          <w:ilvl w:val="0"/>
          <w:numId w:val="2"/>
        </w:numPr>
        <w:spacing w:line="240" w:lineRule="auto"/>
        <w:rPr>
          <w:rFonts w:ascii="Arial" w:eastAsia="Arial" w:hAnsi="Arial" w:cs="Arial"/>
          <w:lang w:val="es-ES"/>
        </w:rPr>
      </w:pPr>
      <w:r w:rsidRPr="33F8DE2A">
        <w:rPr>
          <w:rFonts w:ascii="Arial" w:eastAsia="Arial" w:hAnsi="Arial" w:cs="Arial"/>
          <w:lang w:val="es-ES"/>
        </w:rPr>
        <w:t xml:space="preserve">Por medio </w:t>
      </w:r>
      <w:r w:rsidR="13EB4C46" w:rsidRPr="33F8DE2A">
        <w:rPr>
          <w:rFonts w:ascii="Arial" w:eastAsia="Arial" w:hAnsi="Arial" w:cs="Arial"/>
          <w:lang w:val="es-ES"/>
        </w:rPr>
        <w:t xml:space="preserve">del caso </w:t>
      </w:r>
      <w:proofErr w:type="spellStart"/>
      <w:r w:rsidR="00D72B80" w:rsidRPr="33F8DE2A">
        <w:rPr>
          <w:rFonts w:ascii="Arial" w:eastAsia="Arial" w:hAnsi="Arial" w:cs="Arial"/>
          <w:lang w:val="es-ES"/>
        </w:rPr>
        <w:t>Verein</w:t>
      </w:r>
      <w:proofErr w:type="spellEnd"/>
      <w:r w:rsidR="00D72B80" w:rsidRPr="33F8DE2A">
        <w:rPr>
          <w:rFonts w:ascii="Arial" w:eastAsia="Arial" w:hAnsi="Arial" w:cs="Arial"/>
          <w:lang w:val="es-ES"/>
        </w:rPr>
        <w:t xml:space="preserve"> </w:t>
      </w:r>
      <w:proofErr w:type="spellStart"/>
      <w:r w:rsidR="00D72B80" w:rsidRPr="23B0D9C3">
        <w:rPr>
          <w:rFonts w:ascii="Arial" w:eastAsia="Arial" w:hAnsi="Arial" w:cs="Arial"/>
          <w:lang w:val="es-ES"/>
        </w:rPr>
        <w:t>Klima</w:t>
      </w:r>
      <w:proofErr w:type="spellEnd"/>
      <w:r w:rsidR="0D38EA35" w:rsidRPr="23B0D9C3">
        <w:rPr>
          <w:rFonts w:ascii="Arial" w:eastAsia="Arial" w:hAnsi="Arial" w:cs="Arial"/>
          <w:lang w:val="es-ES"/>
        </w:rPr>
        <w:t xml:space="preserve"> </w:t>
      </w:r>
      <w:proofErr w:type="spellStart"/>
      <w:r w:rsidR="00D72B80" w:rsidRPr="23B0D9C3">
        <w:rPr>
          <w:rFonts w:ascii="Arial" w:eastAsia="Arial" w:hAnsi="Arial" w:cs="Arial"/>
          <w:lang w:val="es-ES"/>
        </w:rPr>
        <w:t>Seniorinnen</w:t>
      </w:r>
      <w:proofErr w:type="spellEnd"/>
      <w:r w:rsidR="00D72B80" w:rsidRPr="33F8DE2A">
        <w:rPr>
          <w:rFonts w:ascii="Arial" w:eastAsia="Arial" w:hAnsi="Arial" w:cs="Arial"/>
          <w:lang w:val="es-ES"/>
        </w:rPr>
        <w:t xml:space="preserve"> </w:t>
      </w:r>
      <w:proofErr w:type="spellStart"/>
      <w:r w:rsidR="00D72B80" w:rsidRPr="33F8DE2A">
        <w:rPr>
          <w:rFonts w:ascii="Arial" w:eastAsia="Arial" w:hAnsi="Arial" w:cs="Arial"/>
          <w:lang w:val="es-ES"/>
        </w:rPr>
        <w:t>Schweiz</w:t>
      </w:r>
      <w:proofErr w:type="spellEnd"/>
      <w:r w:rsidR="00D72B80" w:rsidRPr="33F8DE2A">
        <w:rPr>
          <w:rFonts w:ascii="Arial" w:eastAsia="Arial" w:hAnsi="Arial" w:cs="Arial"/>
          <w:lang w:val="es-ES"/>
        </w:rPr>
        <w:t xml:space="preserve"> y otros c. </w:t>
      </w:r>
      <w:r w:rsidR="7EEF56B9" w:rsidRPr="33F8DE2A">
        <w:rPr>
          <w:rFonts w:ascii="Arial" w:eastAsia="Arial" w:hAnsi="Arial" w:cs="Arial"/>
          <w:lang w:val="es-ES"/>
        </w:rPr>
        <w:t xml:space="preserve">vs. </w:t>
      </w:r>
      <w:r w:rsidR="00D72B80" w:rsidRPr="33F8DE2A">
        <w:rPr>
          <w:rFonts w:ascii="Arial" w:eastAsia="Arial" w:hAnsi="Arial" w:cs="Arial"/>
          <w:lang w:val="es-ES"/>
        </w:rPr>
        <w:t>Suiza</w:t>
      </w:r>
      <w:r w:rsidR="6A17DBD4" w:rsidRPr="33F8DE2A">
        <w:rPr>
          <w:rFonts w:ascii="Arial" w:eastAsia="Arial" w:hAnsi="Arial" w:cs="Arial"/>
          <w:lang w:val="es-ES"/>
        </w:rPr>
        <w:t>, el</w:t>
      </w:r>
      <w:r w:rsidR="00D72B80" w:rsidRPr="33F8DE2A">
        <w:rPr>
          <w:rFonts w:ascii="Arial" w:eastAsia="Arial" w:hAnsi="Arial" w:cs="Arial"/>
          <w:lang w:val="es-ES"/>
        </w:rPr>
        <w:t xml:space="preserve"> Tribunal Europeo señaló que los Estados deben procurar el derecho a la salud y bienestar tomando acciones en contra del cambio climático. La </w:t>
      </w:r>
      <w:r w:rsidR="00D72B80" w:rsidRPr="33F8DE2A">
        <w:rPr>
          <w:rFonts w:ascii="Arial" w:eastAsia="Arial" w:hAnsi="Arial" w:cs="Arial"/>
          <w:lang w:val="es-ES"/>
        </w:rPr>
        <w:lastRenderedPageBreak/>
        <w:t>función jurisdiccional debe fallar a favor de medidas que promuevan la sostenibilidad ambiental, que se exija a los Estados el marco regulatorio adecuado para el control del cambio climático y que las personas afectadas por los problemas medioambientales tengan acceso a tribunales para impugnar las acciones u omisiones del Estado.</w:t>
      </w:r>
      <w:r w:rsidR="3AB10FC6" w:rsidRPr="33F8DE2A">
        <w:rPr>
          <w:rFonts w:ascii="Arial" w:eastAsia="Arial" w:hAnsi="Arial" w:cs="Arial"/>
          <w:lang w:val="es-ES"/>
        </w:rPr>
        <w:t>(</w:t>
      </w:r>
      <w:r w:rsidR="3B74BDAB" w:rsidRPr="2C278578">
        <w:rPr>
          <w:rFonts w:ascii="Arial" w:eastAsia="Arial" w:hAnsi="Arial" w:cs="Arial"/>
          <w:color w:val="333333"/>
          <w:lang w:val="es-ES"/>
        </w:rPr>
        <w:t>Para consultar</w:t>
      </w:r>
      <w:r w:rsidR="005273DE" w:rsidRPr="2C278578">
        <w:rPr>
          <w:rFonts w:ascii="Arial" w:eastAsia="Arial" w:hAnsi="Arial" w:cs="Arial"/>
          <w:color w:val="333333"/>
          <w:lang w:val="es-ES"/>
        </w:rPr>
        <w:t xml:space="preserve"> la sentencia </w:t>
      </w:r>
      <w:r w:rsidR="3B74BDAB" w:rsidRPr="2C278578">
        <w:rPr>
          <w:rFonts w:ascii="Arial" w:eastAsia="Arial" w:hAnsi="Arial" w:cs="Arial"/>
          <w:color w:val="333333"/>
          <w:lang w:val="es-ES"/>
        </w:rPr>
        <w:t>completa,</w:t>
      </w:r>
      <w:r w:rsidR="005273DE" w:rsidRPr="2C278578">
        <w:rPr>
          <w:rFonts w:ascii="Arial" w:eastAsia="Arial" w:hAnsi="Arial" w:cs="Arial"/>
          <w:color w:val="333333"/>
          <w:lang w:val="es-ES"/>
        </w:rPr>
        <w:t xml:space="preserve"> enlace</w:t>
      </w:r>
      <w:r w:rsidR="3B74BDAB" w:rsidRPr="2C278578">
        <w:rPr>
          <w:rFonts w:ascii="Arial" w:eastAsia="Arial" w:hAnsi="Arial" w:cs="Arial"/>
          <w:color w:val="333333"/>
          <w:lang w:val="es-ES"/>
        </w:rPr>
        <w:t xml:space="preserve"> aquí</w:t>
      </w:r>
      <w:r w:rsidR="005273DE" w:rsidRPr="33F8DE2A">
        <w:rPr>
          <w:rFonts w:ascii="Arial" w:eastAsia="Arial" w:hAnsi="Arial" w:cs="Arial"/>
          <w:lang w:val="es-ES"/>
        </w:rPr>
        <w:t>:</w:t>
      </w:r>
      <w:r w:rsidR="005F0AF0" w:rsidRPr="33F8DE2A">
        <w:rPr>
          <w:rFonts w:ascii="Arial" w:eastAsia="Arial" w:hAnsi="Arial" w:cs="Arial"/>
          <w:lang w:val="es-ES"/>
        </w:rPr>
        <w:t xml:space="preserve"> </w:t>
      </w:r>
      <w:hyperlink r:id="rId46">
        <w:r w:rsidR="005F0AF0" w:rsidRPr="33F8DE2A">
          <w:rPr>
            <w:rStyle w:val="Hipervnculo"/>
            <w:rFonts w:ascii="Arial" w:eastAsia="Arial" w:hAnsi="Arial" w:cs="Arial"/>
            <w:lang w:val="es-ES"/>
          </w:rPr>
          <w:t>https://www.klimaseniorinnen.ch/wp-content/uploads/2024/04/CASE-OF-VEREIN-KLIMASENIORINNEN-SCHWEIZ-AND-OTHERS-v.-SWITZERLAND.pdf</w:t>
        </w:r>
      </w:hyperlink>
      <w:r w:rsidR="1D449D2B" w:rsidRPr="33F8DE2A">
        <w:rPr>
          <w:rFonts w:ascii="Arial" w:eastAsia="Arial" w:hAnsi="Arial" w:cs="Arial"/>
          <w:lang w:val="es-ES"/>
        </w:rPr>
        <w:t>).</w:t>
      </w:r>
    </w:p>
    <w:p w14:paraId="3321579A" w14:textId="77777777" w:rsidR="007838D2" w:rsidRPr="00A75A58" w:rsidRDefault="007838D2" w:rsidP="6E83B9AD">
      <w:pPr>
        <w:pStyle w:val="Ttulo1"/>
        <w:spacing w:line="240" w:lineRule="auto"/>
        <w:rPr>
          <w:rFonts w:ascii="Arial" w:eastAsia="Arial" w:hAnsi="Arial" w:cs="Arial"/>
          <w:lang w:val="es-ES"/>
        </w:rPr>
      </w:pPr>
      <w:r w:rsidRPr="33F8DE2A">
        <w:rPr>
          <w:rFonts w:ascii="Arial" w:eastAsia="Arial" w:hAnsi="Arial" w:cs="Arial"/>
          <w:lang w:val="es-ES"/>
        </w:rPr>
        <w:t xml:space="preserve">Te puede interesar </w:t>
      </w:r>
    </w:p>
    <w:p w14:paraId="2A6178C1" w14:textId="3C5B39D7" w:rsidR="246C7E9C" w:rsidRDefault="246C7E9C" w:rsidP="6E83B9AD">
      <w:pPr>
        <w:spacing w:line="240" w:lineRule="auto"/>
        <w:rPr>
          <w:rFonts w:ascii="Arial" w:eastAsia="Arial" w:hAnsi="Arial" w:cs="Arial"/>
          <w:lang w:val="es-ES"/>
        </w:rPr>
      </w:pPr>
      <w:r w:rsidRPr="33F8DE2A">
        <w:rPr>
          <w:rFonts w:ascii="Arial" w:eastAsia="Arial" w:hAnsi="Arial" w:cs="Arial"/>
          <w:lang w:val="es-ES"/>
        </w:rPr>
        <w:t xml:space="preserve">En el siguiente </w:t>
      </w:r>
      <w:r w:rsidRPr="23B0D9C3">
        <w:rPr>
          <w:rFonts w:ascii="Arial" w:eastAsia="Arial" w:hAnsi="Arial" w:cs="Arial"/>
          <w:lang w:val="es-ES"/>
        </w:rPr>
        <w:t>apar</w:t>
      </w:r>
      <w:r w:rsidR="61F9A33A" w:rsidRPr="23B0D9C3">
        <w:rPr>
          <w:rFonts w:ascii="Arial" w:eastAsia="Arial" w:hAnsi="Arial" w:cs="Arial"/>
          <w:lang w:val="es-ES"/>
        </w:rPr>
        <w:t>t</w:t>
      </w:r>
      <w:r w:rsidRPr="23B0D9C3">
        <w:rPr>
          <w:rFonts w:ascii="Arial" w:eastAsia="Arial" w:hAnsi="Arial" w:cs="Arial"/>
          <w:lang w:val="es-ES"/>
        </w:rPr>
        <w:t>ado</w:t>
      </w:r>
      <w:r w:rsidRPr="33F8DE2A">
        <w:rPr>
          <w:rFonts w:ascii="Arial" w:eastAsia="Arial" w:hAnsi="Arial" w:cs="Arial"/>
          <w:lang w:val="es-ES"/>
        </w:rPr>
        <w:t xml:space="preserve"> se ofrecen algunas noticias que pueden resultar de interés</w:t>
      </w:r>
      <w:r w:rsidR="0740F7A1" w:rsidRPr="23B0D9C3">
        <w:rPr>
          <w:rFonts w:ascii="Arial" w:eastAsia="Arial" w:hAnsi="Arial" w:cs="Arial"/>
          <w:lang w:val="es-ES"/>
        </w:rPr>
        <w:t>:</w:t>
      </w:r>
    </w:p>
    <w:p w14:paraId="01726723" w14:textId="6D62655C" w:rsidR="00A75A58" w:rsidRPr="00A75A58" w:rsidRDefault="007838D2" w:rsidP="6E83B9AD">
      <w:pPr>
        <w:pStyle w:val="Prrafodelista"/>
        <w:numPr>
          <w:ilvl w:val="0"/>
          <w:numId w:val="1"/>
        </w:numPr>
        <w:spacing w:line="240" w:lineRule="auto"/>
        <w:rPr>
          <w:rFonts w:ascii="Arial" w:eastAsia="Arial" w:hAnsi="Arial" w:cs="Arial"/>
          <w:b/>
          <w:lang w:val="es-ES"/>
        </w:rPr>
      </w:pPr>
      <w:r w:rsidRPr="33F8DE2A">
        <w:rPr>
          <w:rFonts w:ascii="Arial" w:eastAsia="Arial" w:hAnsi="Arial" w:cs="Arial"/>
          <w:b/>
          <w:lang w:val="es-ES"/>
        </w:rPr>
        <w:t>Competencia el Camino hacia la Suprema Corte</w:t>
      </w:r>
    </w:p>
    <w:p w14:paraId="43620AC5" w14:textId="62F97B1A" w:rsidR="10EC7689" w:rsidRDefault="007838D2" w:rsidP="6E83B9AD">
      <w:pPr>
        <w:spacing w:line="240" w:lineRule="auto"/>
        <w:rPr>
          <w:rFonts w:ascii="Arial" w:eastAsia="Arial" w:hAnsi="Arial" w:cs="Arial"/>
          <w:lang w:val="es-ES"/>
        </w:rPr>
      </w:pPr>
      <w:r w:rsidRPr="33F8DE2A">
        <w:rPr>
          <w:rFonts w:ascii="Arial" w:eastAsia="Arial" w:hAnsi="Arial" w:cs="Arial"/>
          <w:lang w:val="es-ES"/>
        </w:rPr>
        <w:t xml:space="preserve">El viernes 8 de noviembre se llevó a cabo la Final de la Competencia “El Camino hacia la Suprema Corte 2024” entre la Universidad Cristóbal Colón y la Universidad Panamericana Santa Fe. </w:t>
      </w:r>
      <w:r w:rsidR="45858845" w:rsidRPr="33F8DE2A">
        <w:rPr>
          <w:rFonts w:ascii="Arial" w:eastAsia="Arial" w:hAnsi="Arial" w:cs="Arial"/>
          <w:lang w:val="es-ES"/>
        </w:rPr>
        <w:t>(</w:t>
      </w:r>
      <w:r w:rsidR="005F0AF0" w:rsidRPr="33F8DE2A">
        <w:rPr>
          <w:rFonts w:ascii="Arial" w:eastAsia="Arial" w:hAnsi="Arial" w:cs="Arial"/>
          <w:lang w:val="es-ES"/>
        </w:rPr>
        <w:t>Con</w:t>
      </w:r>
      <w:r w:rsidR="00045B8A">
        <w:rPr>
          <w:rFonts w:ascii="Arial" w:eastAsia="Arial" w:hAnsi="Arial" w:cs="Arial"/>
          <w:lang w:val="es-ES"/>
        </w:rPr>
        <w:t>sulta</w:t>
      </w:r>
      <w:r w:rsidR="005F0AF0" w:rsidRPr="33F8DE2A">
        <w:rPr>
          <w:rFonts w:ascii="Arial" w:eastAsia="Arial" w:hAnsi="Arial" w:cs="Arial"/>
          <w:lang w:val="es-ES"/>
        </w:rPr>
        <w:t xml:space="preserve"> la grabación de la audiencia final de la competencia</w:t>
      </w:r>
      <w:r w:rsidR="00045B8A">
        <w:rPr>
          <w:rFonts w:ascii="Arial" w:eastAsia="Arial" w:hAnsi="Arial" w:cs="Arial"/>
          <w:lang w:val="es-ES"/>
        </w:rPr>
        <w:t xml:space="preserve">, enlace </w:t>
      </w:r>
      <w:r w:rsidR="005F0AF0" w:rsidRPr="33F8DE2A">
        <w:rPr>
          <w:rFonts w:ascii="Arial" w:eastAsia="Arial" w:hAnsi="Arial" w:cs="Arial"/>
          <w:lang w:val="es-ES"/>
        </w:rPr>
        <w:t>aquí</w:t>
      </w:r>
      <w:r w:rsidR="00045B8A">
        <w:rPr>
          <w:rFonts w:ascii="Arial" w:eastAsia="Arial" w:hAnsi="Arial" w:cs="Arial"/>
          <w:lang w:val="es-ES"/>
        </w:rPr>
        <w:t xml:space="preserve"> </w:t>
      </w:r>
      <w:hyperlink r:id="rId47">
        <w:r w:rsidR="00045B8A" w:rsidRPr="05A0A611">
          <w:rPr>
            <w:rStyle w:val="Hipervnculo"/>
            <w:rFonts w:ascii="Arial" w:eastAsia="Arial" w:hAnsi="Arial" w:cs="Arial"/>
            <w:lang w:val="es-ES"/>
          </w:rPr>
          <w:t>https://www.youtube.com/watch?v=FsZZVZpAQOI</w:t>
        </w:r>
      </w:hyperlink>
      <w:r w:rsidR="10EC7689" w:rsidRPr="33F8DE2A">
        <w:rPr>
          <w:rFonts w:ascii="Arial" w:eastAsia="Arial" w:hAnsi="Arial" w:cs="Arial"/>
          <w:lang w:val="es-ES"/>
        </w:rPr>
        <w:t>).</w:t>
      </w:r>
    </w:p>
    <w:p w14:paraId="54B3EBC5" w14:textId="239B0A61" w:rsidR="6FE1D43C" w:rsidRDefault="6FE1D43C" w:rsidP="6E83B9AD">
      <w:pPr>
        <w:spacing w:line="240" w:lineRule="auto"/>
        <w:rPr>
          <w:rFonts w:ascii="Arial" w:eastAsia="Arial" w:hAnsi="Arial" w:cs="Arial"/>
          <w:lang w:val="es-ES"/>
        </w:rPr>
      </w:pPr>
    </w:p>
    <w:p w14:paraId="35670254" w14:textId="4968BD73" w:rsidR="00A75A58" w:rsidRPr="00A75A58" w:rsidRDefault="007838D2" w:rsidP="6E83B9AD">
      <w:pPr>
        <w:pStyle w:val="Prrafodelista"/>
        <w:numPr>
          <w:ilvl w:val="0"/>
          <w:numId w:val="1"/>
        </w:numPr>
        <w:spacing w:line="240" w:lineRule="auto"/>
        <w:rPr>
          <w:rFonts w:ascii="Arial" w:eastAsia="Arial" w:hAnsi="Arial" w:cs="Arial"/>
          <w:b/>
          <w:lang w:val="es-ES"/>
        </w:rPr>
      </w:pPr>
      <w:r w:rsidRPr="33F8DE2A">
        <w:rPr>
          <w:rFonts w:ascii="Arial" w:eastAsia="Arial" w:hAnsi="Arial" w:cs="Arial"/>
          <w:b/>
          <w:lang w:val="es-ES"/>
        </w:rPr>
        <w:t xml:space="preserve">Día Internacional de las Personas con Discapacidad </w:t>
      </w:r>
    </w:p>
    <w:p w14:paraId="7FD26534" w14:textId="4B97A5C1" w:rsidR="005F0AF0" w:rsidRPr="005F0AF0" w:rsidRDefault="007838D2" w:rsidP="6E83B9AD">
      <w:pPr>
        <w:spacing w:line="240" w:lineRule="auto"/>
        <w:rPr>
          <w:rFonts w:ascii="Arial" w:eastAsia="Arial" w:hAnsi="Arial" w:cs="Arial"/>
          <w:lang w:val="es-ES"/>
        </w:rPr>
      </w:pPr>
      <w:r w:rsidRPr="33F8DE2A">
        <w:rPr>
          <w:rFonts w:ascii="Arial" w:eastAsia="Arial" w:hAnsi="Arial" w:cs="Arial"/>
          <w:lang w:val="es-ES"/>
        </w:rPr>
        <w:t>El martes 3 de diciembre de 10:00 a 12:00 horas se llevará a cabo la mesa de diálogo:</w:t>
      </w:r>
      <w:r w:rsidR="00A75A58" w:rsidRPr="33F8DE2A">
        <w:rPr>
          <w:rFonts w:ascii="Arial" w:eastAsia="Arial" w:hAnsi="Arial" w:cs="Arial"/>
          <w:lang w:val="es-ES"/>
        </w:rPr>
        <w:t xml:space="preserve"> </w:t>
      </w:r>
      <w:r w:rsidRPr="33F8DE2A">
        <w:rPr>
          <w:rFonts w:ascii="Arial" w:eastAsia="Arial" w:hAnsi="Arial" w:cs="Arial"/>
          <w:lang w:val="es-ES"/>
        </w:rPr>
        <w:t xml:space="preserve">Hacia un ejercicio de los derechos sexuales y reproductivos de las mujeres con discapacidad en las redes sociales de la Suprema Corte de Justicia de la Nación, ¡No te la pierdas! </w:t>
      </w:r>
      <w:r w:rsidR="4802E85E" w:rsidRPr="33F8DE2A">
        <w:rPr>
          <w:rFonts w:ascii="Arial" w:eastAsia="Arial" w:hAnsi="Arial" w:cs="Arial"/>
          <w:lang w:val="es-ES"/>
        </w:rPr>
        <w:t>(</w:t>
      </w:r>
      <w:r w:rsidR="005F0AF0" w:rsidRPr="33F8DE2A">
        <w:rPr>
          <w:rFonts w:ascii="Arial" w:eastAsia="Arial" w:hAnsi="Arial" w:cs="Arial"/>
          <w:lang w:val="es-ES"/>
        </w:rPr>
        <w:t xml:space="preserve">Para conocer más información consulta el siguiente enlace: </w:t>
      </w:r>
      <w:hyperlink r:id="rId48" w:anchor="/derechos-humanos/eventos/evento/10454">
        <w:r w:rsidR="005F0AF0" w:rsidRPr="33F8DE2A">
          <w:rPr>
            <w:rStyle w:val="Hipervnculo"/>
            <w:rFonts w:ascii="Arial" w:eastAsia="Arial" w:hAnsi="Arial" w:cs="Arial"/>
            <w:lang w:val="es-ES"/>
          </w:rPr>
          <w:t>https://www.scjn.gob.mx/gw/#/derechos-humanos/eventos/evento/10454</w:t>
        </w:r>
      </w:hyperlink>
      <w:r w:rsidR="651B646B" w:rsidRPr="33F8DE2A">
        <w:rPr>
          <w:rFonts w:ascii="Arial" w:eastAsia="Arial" w:hAnsi="Arial" w:cs="Arial"/>
          <w:lang w:val="es-ES"/>
        </w:rPr>
        <w:t>).</w:t>
      </w:r>
    </w:p>
    <w:p w14:paraId="0FD26C49" w14:textId="2198A428" w:rsidR="00D3515E" w:rsidRPr="005F0AF0" w:rsidRDefault="00D3515E" w:rsidP="6E83B9AD">
      <w:pPr>
        <w:spacing w:line="240" w:lineRule="auto"/>
        <w:rPr>
          <w:rFonts w:ascii="Arial" w:eastAsia="Arial" w:hAnsi="Arial" w:cs="Arial"/>
          <w:lang w:val="es-ES"/>
        </w:rPr>
      </w:pPr>
    </w:p>
    <w:p w14:paraId="60C8CC28" w14:textId="27366D99" w:rsidR="6FE1D43C" w:rsidRDefault="6FE1D43C" w:rsidP="6E83B9AD">
      <w:pPr>
        <w:spacing w:line="240" w:lineRule="auto"/>
        <w:rPr>
          <w:rFonts w:ascii="Arial" w:eastAsia="Arial" w:hAnsi="Arial" w:cs="Arial"/>
          <w:lang w:val="es-ES"/>
        </w:rPr>
      </w:pPr>
    </w:p>
    <w:p w14:paraId="5DA182C8" w14:textId="56DC79FF" w:rsidR="6FE1D43C" w:rsidRDefault="6FE1D43C" w:rsidP="6E83B9AD">
      <w:pPr>
        <w:spacing w:line="240" w:lineRule="auto"/>
        <w:rPr>
          <w:rFonts w:ascii="Arial" w:eastAsia="Arial" w:hAnsi="Arial" w:cs="Arial"/>
          <w:lang w:val="es-ES"/>
        </w:rPr>
      </w:pPr>
    </w:p>
    <w:sectPr w:rsidR="6FE1D43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2B69B" w14:textId="77777777" w:rsidR="00A47E69" w:rsidRDefault="00A47E69" w:rsidP="005F0AF0">
      <w:pPr>
        <w:spacing w:after="0" w:line="240" w:lineRule="auto"/>
      </w:pPr>
      <w:r>
        <w:separator/>
      </w:r>
    </w:p>
  </w:endnote>
  <w:endnote w:type="continuationSeparator" w:id="0">
    <w:p w14:paraId="7C5D3408" w14:textId="77777777" w:rsidR="00A47E69" w:rsidRDefault="00A47E69" w:rsidP="005F0AF0">
      <w:pPr>
        <w:spacing w:after="0" w:line="240" w:lineRule="auto"/>
      </w:pPr>
      <w:r>
        <w:continuationSeparator/>
      </w:r>
    </w:p>
  </w:endnote>
  <w:endnote w:type="continuationNotice" w:id="1">
    <w:p w14:paraId="485541D6" w14:textId="77777777" w:rsidR="00A47E69" w:rsidRDefault="00A47E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E4895" w14:textId="77777777" w:rsidR="00A47E69" w:rsidRDefault="00A47E69" w:rsidP="005F0AF0">
      <w:pPr>
        <w:spacing w:after="0" w:line="240" w:lineRule="auto"/>
      </w:pPr>
      <w:r>
        <w:separator/>
      </w:r>
    </w:p>
  </w:footnote>
  <w:footnote w:type="continuationSeparator" w:id="0">
    <w:p w14:paraId="5F783A1B" w14:textId="77777777" w:rsidR="00A47E69" w:rsidRDefault="00A47E69" w:rsidP="005F0AF0">
      <w:pPr>
        <w:spacing w:after="0" w:line="240" w:lineRule="auto"/>
      </w:pPr>
      <w:r>
        <w:continuationSeparator/>
      </w:r>
    </w:p>
  </w:footnote>
  <w:footnote w:type="continuationNotice" w:id="1">
    <w:p w14:paraId="71A39FC8" w14:textId="77777777" w:rsidR="00A47E69" w:rsidRDefault="00A47E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8511"/>
    <w:multiLevelType w:val="hybridMultilevel"/>
    <w:tmpl w:val="9612C922"/>
    <w:lvl w:ilvl="0" w:tplc="952E7FCE">
      <w:start w:val="1"/>
      <w:numFmt w:val="lowerLetter"/>
      <w:lvlText w:val="%1."/>
      <w:lvlJc w:val="left"/>
      <w:pPr>
        <w:ind w:left="720" w:hanging="360"/>
      </w:pPr>
    </w:lvl>
    <w:lvl w:ilvl="1" w:tplc="7422C2BA">
      <w:start w:val="1"/>
      <w:numFmt w:val="lowerLetter"/>
      <w:lvlText w:val="%2."/>
      <w:lvlJc w:val="left"/>
      <w:pPr>
        <w:ind w:left="1440" w:hanging="360"/>
      </w:pPr>
    </w:lvl>
    <w:lvl w:ilvl="2" w:tplc="F0907D50">
      <w:start w:val="1"/>
      <w:numFmt w:val="lowerRoman"/>
      <w:lvlText w:val="%3."/>
      <w:lvlJc w:val="right"/>
      <w:pPr>
        <w:ind w:left="2160" w:hanging="180"/>
      </w:pPr>
    </w:lvl>
    <w:lvl w:ilvl="3" w:tplc="DF3A6AEA">
      <w:start w:val="1"/>
      <w:numFmt w:val="decimal"/>
      <w:lvlText w:val="%4."/>
      <w:lvlJc w:val="left"/>
      <w:pPr>
        <w:ind w:left="2880" w:hanging="360"/>
      </w:pPr>
    </w:lvl>
    <w:lvl w:ilvl="4" w:tplc="2AC2CCEE">
      <w:start w:val="1"/>
      <w:numFmt w:val="lowerLetter"/>
      <w:lvlText w:val="%5."/>
      <w:lvlJc w:val="left"/>
      <w:pPr>
        <w:ind w:left="3600" w:hanging="360"/>
      </w:pPr>
    </w:lvl>
    <w:lvl w:ilvl="5" w:tplc="41F83A70">
      <w:start w:val="1"/>
      <w:numFmt w:val="lowerRoman"/>
      <w:lvlText w:val="%6."/>
      <w:lvlJc w:val="right"/>
      <w:pPr>
        <w:ind w:left="4320" w:hanging="180"/>
      </w:pPr>
    </w:lvl>
    <w:lvl w:ilvl="6" w:tplc="236AF550">
      <w:start w:val="1"/>
      <w:numFmt w:val="decimal"/>
      <w:lvlText w:val="%7."/>
      <w:lvlJc w:val="left"/>
      <w:pPr>
        <w:ind w:left="5040" w:hanging="360"/>
      </w:pPr>
    </w:lvl>
    <w:lvl w:ilvl="7" w:tplc="A69A0BE4">
      <w:start w:val="1"/>
      <w:numFmt w:val="lowerLetter"/>
      <w:lvlText w:val="%8."/>
      <w:lvlJc w:val="left"/>
      <w:pPr>
        <w:ind w:left="5760" w:hanging="360"/>
      </w:pPr>
    </w:lvl>
    <w:lvl w:ilvl="8" w:tplc="A344DA5E">
      <w:start w:val="1"/>
      <w:numFmt w:val="lowerRoman"/>
      <w:lvlText w:val="%9."/>
      <w:lvlJc w:val="right"/>
      <w:pPr>
        <w:ind w:left="6480" w:hanging="180"/>
      </w:pPr>
    </w:lvl>
  </w:abstractNum>
  <w:abstractNum w:abstractNumId="1" w15:restartNumberingAfterBreak="0">
    <w:nsid w:val="08E43A58"/>
    <w:multiLevelType w:val="hybridMultilevel"/>
    <w:tmpl w:val="AA680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283A13"/>
    <w:multiLevelType w:val="hybridMultilevel"/>
    <w:tmpl w:val="6FA81D84"/>
    <w:lvl w:ilvl="0" w:tplc="97D8C4E8">
      <w:start w:val="1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54DC92"/>
    <w:multiLevelType w:val="hybridMultilevel"/>
    <w:tmpl w:val="764A5BF2"/>
    <w:lvl w:ilvl="0" w:tplc="E91A47D8">
      <w:start w:val="1"/>
      <w:numFmt w:val="decimal"/>
      <w:lvlText w:val="%1."/>
      <w:lvlJc w:val="left"/>
      <w:pPr>
        <w:ind w:left="720" w:hanging="360"/>
      </w:pPr>
    </w:lvl>
    <w:lvl w:ilvl="1" w:tplc="9D28A28C">
      <w:start w:val="1"/>
      <w:numFmt w:val="lowerLetter"/>
      <w:lvlText w:val="%2."/>
      <w:lvlJc w:val="left"/>
      <w:pPr>
        <w:ind w:left="1440" w:hanging="360"/>
      </w:pPr>
    </w:lvl>
    <w:lvl w:ilvl="2" w:tplc="705877EE">
      <w:start w:val="1"/>
      <w:numFmt w:val="lowerRoman"/>
      <w:lvlText w:val="%3."/>
      <w:lvlJc w:val="right"/>
      <w:pPr>
        <w:ind w:left="2160" w:hanging="180"/>
      </w:pPr>
    </w:lvl>
    <w:lvl w:ilvl="3" w:tplc="6228FB50">
      <w:start w:val="1"/>
      <w:numFmt w:val="decimal"/>
      <w:lvlText w:val="%4."/>
      <w:lvlJc w:val="left"/>
      <w:pPr>
        <w:ind w:left="2880" w:hanging="360"/>
      </w:pPr>
    </w:lvl>
    <w:lvl w:ilvl="4" w:tplc="AFF4A80A">
      <w:start w:val="1"/>
      <w:numFmt w:val="lowerLetter"/>
      <w:lvlText w:val="%5."/>
      <w:lvlJc w:val="left"/>
      <w:pPr>
        <w:ind w:left="3600" w:hanging="360"/>
      </w:pPr>
    </w:lvl>
    <w:lvl w:ilvl="5" w:tplc="268E9E84">
      <w:start w:val="1"/>
      <w:numFmt w:val="lowerRoman"/>
      <w:lvlText w:val="%6."/>
      <w:lvlJc w:val="right"/>
      <w:pPr>
        <w:ind w:left="4320" w:hanging="180"/>
      </w:pPr>
    </w:lvl>
    <w:lvl w:ilvl="6" w:tplc="D2EEA68C">
      <w:start w:val="1"/>
      <w:numFmt w:val="decimal"/>
      <w:lvlText w:val="%7."/>
      <w:lvlJc w:val="left"/>
      <w:pPr>
        <w:ind w:left="5040" w:hanging="360"/>
      </w:pPr>
    </w:lvl>
    <w:lvl w:ilvl="7" w:tplc="FB7A21BA">
      <w:start w:val="1"/>
      <w:numFmt w:val="lowerLetter"/>
      <w:lvlText w:val="%8."/>
      <w:lvlJc w:val="left"/>
      <w:pPr>
        <w:ind w:left="5760" w:hanging="360"/>
      </w:pPr>
    </w:lvl>
    <w:lvl w:ilvl="8" w:tplc="5C2C8BF8">
      <w:start w:val="1"/>
      <w:numFmt w:val="lowerRoman"/>
      <w:lvlText w:val="%9."/>
      <w:lvlJc w:val="right"/>
      <w:pPr>
        <w:ind w:left="6480" w:hanging="180"/>
      </w:pPr>
    </w:lvl>
  </w:abstractNum>
  <w:abstractNum w:abstractNumId="4" w15:restartNumberingAfterBreak="0">
    <w:nsid w:val="2C7E244C"/>
    <w:multiLevelType w:val="hybridMultilevel"/>
    <w:tmpl w:val="389C264C"/>
    <w:lvl w:ilvl="0" w:tplc="C28629D4">
      <w:start w:val="1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6B2EB7"/>
    <w:multiLevelType w:val="hybridMultilevel"/>
    <w:tmpl w:val="18F6FCCE"/>
    <w:lvl w:ilvl="0" w:tplc="14AA21D2">
      <w:start w:val="1"/>
      <w:numFmt w:val="decimal"/>
      <w:lvlText w:val="%1."/>
      <w:lvlJc w:val="left"/>
      <w:pPr>
        <w:ind w:left="720" w:hanging="360"/>
      </w:pPr>
    </w:lvl>
    <w:lvl w:ilvl="1" w:tplc="C1462428">
      <w:start w:val="1"/>
      <w:numFmt w:val="lowerLetter"/>
      <w:lvlText w:val="%2."/>
      <w:lvlJc w:val="left"/>
      <w:pPr>
        <w:ind w:left="1440" w:hanging="360"/>
      </w:pPr>
    </w:lvl>
    <w:lvl w:ilvl="2" w:tplc="895C05F4">
      <w:start w:val="1"/>
      <w:numFmt w:val="lowerRoman"/>
      <w:lvlText w:val="%3."/>
      <w:lvlJc w:val="right"/>
      <w:pPr>
        <w:ind w:left="2160" w:hanging="180"/>
      </w:pPr>
    </w:lvl>
    <w:lvl w:ilvl="3" w:tplc="C934428C">
      <w:start w:val="1"/>
      <w:numFmt w:val="decimal"/>
      <w:lvlText w:val="%4."/>
      <w:lvlJc w:val="left"/>
      <w:pPr>
        <w:ind w:left="2880" w:hanging="360"/>
      </w:pPr>
    </w:lvl>
    <w:lvl w:ilvl="4" w:tplc="7F4AB26A">
      <w:start w:val="1"/>
      <w:numFmt w:val="lowerLetter"/>
      <w:lvlText w:val="%5."/>
      <w:lvlJc w:val="left"/>
      <w:pPr>
        <w:ind w:left="3600" w:hanging="360"/>
      </w:pPr>
    </w:lvl>
    <w:lvl w:ilvl="5" w:tplc="209675D8">
      <w:start w:val="1"/>
      <w:numFmt w:val="lowerRoman"/>
      <w:lvlText w:val="%6."/>
      <w:lvlJc w:val="right"/>
      <w:pPr>
        <w:ind w:left="4320" w:hanging="180"/>
      </w:pPr>
    </w:lvl>
    <w:lvl w:ilvl="6" w:tplc="645EF9F8">
      <w:start w:val="1"/>
      <w:numFmt w:val="decimal"/>
      <w:lvlText w:val="%7."/>
      <w:lvlJc w:val="left"/>
      <w:pPr>
        <w:ind w:left="5040" w:hanging="360"/>
      </w:pPr>
    </w:lvl>
    <w:lvl w:ilvl="7" w:tplc="31B2EF30">
      <w:start w:val="1"/>
      <w:numFmt w:val="lowerLetter"/>
      <w:lvlText w:val="%8."/>
      <w:lvlJc w:val="left"/>
      <w:pPr>
        <w:ind w:left="5760" w:hanging="360"/>
      </w:pPr>
    </w:lvl>
    <w:lvl w:ilvl="8" w:tplc="92E6172E">
      <w:start w:val="1"/>
      <w:numFmt w:val="lowerRoman"/>
      <w:lvlText w:val="%9."/>
      <w:lvlJc w:val="right"/>
      <w:pPr>
        <w:ind w:left="6480" w:hanging="180"/>
      </w:pPr>
    </w:lvl>
  </w:abstractNum>
  <w:abstractNum w:abstractNumId="6" w15:restartNumberingAfterBreak="0">
    <w:nsid w:val="3C4444C8"/>
    <w:multiLevelType w:val="hybridMultilevel"/>
    <w:tmpl w:val="FE0A8304"/>
    <w:lvl w:ilvl="0" w:tplc="04F80916">
      <w:start w:val="1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F61136"/>
    <w:multiLevelType w:val="hybridMultilevel"/>
    <w:tmpl w:val="46929E8C"/>
    <w:lvl w:ilvl="0" w:tplc="080A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4E6B52E"/>
    <w:multiLevelType w:val="hybridMultilevel"/>
    <w:tmpl w:val="FB626B9C"/>
    <w:lvl w:ilvl="0" w:tplc="D188EA4E">
      <w:start w:val="1"/>
      <w:numFmt w:val="decimal"/>
      <w:lvlText w:val="%1."/>
      <w:lvlJc w:val="left"/>
      <w:pPr>
        <w:ind w:left="720" w:hanging="360"/>
      </w:pPr>
    </w:lvl>
    <w:lvl w:ilvl="1" w:tplc="6F4AD864">
      <w:start w:val="1"/>
      <w:numFmt w:val="lowerLetter"/>
      <w:lvlText w:val="%2."/>
      <w:lvlJc w:val="left"/>
      <w:pPr>
        <w:ind w:left="1440" w:hanging="360"/>
      </w:pPr>
    </w:lvl>
    <w:lvl w:ilvl="2" w:tplc="F2765988">
      <w:start w:val="1"/>
      <w:numFmt w:val="lowerRoman"/>
      <w:lvlText w:val="%3."/>
      <w:lvlJc w:val="right"/>
      <w:pPr>
        <w:ind w:left="2160" w:hanging="180"/>
      </w:pPr>
    </w:lvl>
    <w:lvl w:ilvl="3" w:tplc="34F87C34">
      <w:start w:val="1"/>
      <w:numFmt w:val="decimal"/>
      <w:lvlText w:val="%4."/>
      <w:lvlJc w:val="left"/>
      <w:pPr>
        <w:ind w:left="2880" w:hanging="360"/>
      </w:pPr>
    </w:lvl>
    <w:lvl w:ilvl="4" w:tplc="6C9ACD20">
      <w:start w:val="1"/>
      <w:numFmt w:val="lowerLetter"/>
      <w:lvlText w:val="%5."/>
      <w:lvlJc w:val="left"/>
      <w:pPr>
        <w:ind w:left="3600" w:hanging="360"/>
      </w:pPr>
    </w:lvl>
    <w:lvl w:ilvl="5" w:tplc="F056CE92">
      <w:start w:val="1"/>
      <w:numFmt w:val="lowerRoman"/>
      <w:lvlText w:val="%6."/>
      <w:lvlJc w:val="right"/>
      <w:pPr>
        <w:ind w:left="4320" w:hanging="180"/>
      </w:pPr>
    </w:lvl>
    <w:lvl w:ilvl="6" w:tplc="5EDA69AA">
      <w:start w:val="1"/>
      <w:numFmt w:val="decimal"/>
      <w:lvlText w:val="%7."/>
      <w:lvlJc w:val="left"/>
      <w:pPr>
        <w:ind w:left="5040" w:hanging="360"/>
      </w:pPr>
    </w:lvl>
    <w:lvl w:ilvl="7" w:tplc="2480C0A6">
      <w:start w:val="1"/>
      <w:numFmt w:val="lowerLetter"/>
      <w:lvlText w:val="%8."/>
      <w:lvlJc w:val="left"/>
      <w:pPr>
        <w:ind w:left="5760" w:hanging="360"/>
      </w:pPr>
    </w:lvl>
    <w:lvl w:ilvl="8" w:tplc="4552D32A">
      <w:start w:val="1"/>
      <w:numFmt w:val="lowerRoman"/>
      <w:lvlText w:val="%9."/>
      <w:lvlJc w:val="right"/>
      <w:pPr>
        <w:ind w:left="6480" w:hanging="180"/>
      </w:pPr>
    </w:lvl>
  </w:abstractNum>
  <w:abstractNum w:abstractNumId="9" w15:restartNumberingAfterBreak="0">
    <w:nsid w:val="58D391E5"/>
    <w:multiLevelType w:val="hybridMultilevel"/>
    <w:tmpl w:val="7AD22E02"/>
    <w:lvl w:ilvl="0" w:tplc="65A61F16">
      <w:start w:val="1"/>
      <w:numFmt w:val="decimal"/>
      <w:lvlText w:val="%1."/>
      <w:lvlJc w:val="left"/>
      <w:pPr>
        <w:ind w:left="720" w:hanging="360"/>
      </w:pPr>
    </w:lvl>
    <w:lvl w:ilvl="1" w:tplc="E0583B64">
      <w:start w:val="1"/>
      <w:numFmt w:val="lowerLetter"/>
      <w:lvlText w:val="%2."/>
      <w:lvlJc w:val="left"/>
      <w:pPr>
        <w:ind w:left="1440" w:hanging="360"/>
      </w:pPr>
    </w:lvl>
    <w:lvl w:ilvl="2" w:tplc="FDA2D0C8">
      <w:start w:val="1"/>
      <w:numFmt w:val="lowerRoman"/>
      <w:lvlText w:val="%3."/>
      <w:lvlJc w:val="right"/>
      <w:pPr>
        <w:ind w:left="2160" w:hanging="180"/>
      </w:pPr>
    </w:lvl>
    <w:lvl w:ilvl="3" w:tplc="0C789F5C">
      <w:start w:val="1"/>
      <w:numFmt w:val="decimal"/>
      <w:lvlText w:val="%4."/>
      <w:lvlJc w:val="left"/>
      <w:pPr>
        <w:ind w:left="2880" w:hanging="360"/>
      </w:pPr>
    </w:lvl>
    <w:lvl w:ilvl="4" w:tplc="21A66984">
      <w:start w:val="1"/>
      <w:numFmt w:val="lowerLetter"/>
      <w:lvlText w:val="%5."/>
      <w:lvlJc w:val="left"/>
      <w:pPr>
        <w:ind w:left="3600" w:hanging="360"/>
      </w:pPr>
    </w:lvl>
    <w:lvl w:ilvl="5" w:tplc="7FA0C524">
      <w:start w:val="1"/>
      <w:numFmt w:val="lowerRoman"/>
      <w:lvlText w:val="%6."/>
      <w:lvlJc w:val="right"/>
      <w:pPr>
        <w:ind w:left="4320" w:hanging="180"/>
      </w:pPr>
    </w:lvl>
    <w:lvl w:ilvl="6" w:tplc="B106DD40">
      <w:start w:val="1"/>
      <w:numFmt w:val="decimal"/>
      <w:lvlText w:val="%7."/>
      <w:lvlJc w:val="left"/>
      <w:pPr>
        <w:ind w:left="5040" w:hanging="360"/>
      </w:pPr>
    </w:lvl>
    <w:lvl w:ilvl="7" w:tplc="5DACFBF8">
      <w:start w:val="1"/>
      <w:numFmt w:val="lowerLetter"/>
      <w:lvlText w:val="%8."/>
      <w:lvlJc w:val="left"/>
      <w:pPr>
        <w:ind w:left="5760" w:hanging="360"/>
      </w:pPr>
    </w:lvl>
    <w:lvl w:ilvl="8" w:tplc="F1447A4E">
      <w:start w:val="1"/>
      <w:numFmt w:val="lowerRoman"/>
      <w:lvlText w:val="%9."/>
      <w:lvlJc w:val="right"/>
      <w:pPr>
        <w:ind w:left="6480" w:hanging="180"/>
      </w:pPr>
    </w:lvl>
  </w:abstractNum>
  <w:abstractNum w:abstractNumId="10" w15:restartNumberingAfterBreak="0">
    <w:nsid w:val="62499BDB"/>
    <w:multiLevelType w:val="hybridMultilevel"/>
    <w:tmpl w:val="3E20BFC6"/>
    <w:lvl w:ilvl="0" w:tplc="FFFFFFFF">
      <w:start w:val="1"/>
      <w:numFmt w:val="decimal"/>
      <w:lvlText w:val="%1."/>
      <w:lvlJc w:val="left"/>
      <w:pPr>
        <w:ind w:left="720" w:hanging="360"/>
      </w:pPr>
    </w:lvl>
    <w:lvl w:ilvl="1" w:tplc="E216015A">
      <w:start w:val="1"/>
      <w:numFmt w:val="lowerLetter"/>
      <w:lvlText w:val="%2."/>
      <w:lvlJc w:val="left"/>
      <w:pPr>
        <w:ind w:left="1440" w:hanging="360"/>
      </w:pPr>
    </w:lvl>
    <w:lvl w:ilvl="2" w:tplc="4A4EFBF4">
      <w:start w:val="1"/>
      <w:numFmt w:val="lowerRoman"/>
      <w:lvlText w:val="%3."/>
      <w:lvlJc w:val="right"/>
      <w:pPr>
        <w:ind w:left="2160" w:hanging="180"/>
      </w:pPr>
    </w:lvl>
    <w:lvl w:ilvl="3" w:tplc="8D405F72">
      <w:start w:val="1"/>
      <w:numFmt w:val="decimal"/>
      <w:lvlText w:val="%4."/>
      <w:lvlJc w:val="left"/>
      <w:pPr>
        <w:ind w:left="2880" w:hanging="360"/>
      </w:pPr>
    </w:lvl>
    <w:lvl w:ilvl="4" w:tplc="16F65CD8">
      <w:start w:val="1"/>
      <w:numFmt w:val="lowerLetter"/>
      <w:lvlText w:val="%5."/>
      <w:lvlJc w:val="left"/>
      <w:pPr>
        <w:ind w:left="3600" w:hanging="360"/>
      </w:pPr>
    </w:lvl>
    <w:lvl w:ilvl="5" w:tplc="317CED44">
      <w:start w:val="1"/>
      <w:numFmt w:val="lowerRoman"/>
      <w:lvlText w:val="%6."/>
      <w:lvlJc w:val="right"/>
      <w:pPr>
        <w:ind w:left="4320" w:hanging="180"/>
      </w:pPr>
    </w:lvl>
    <w:lvl w:ilvl="6" w:tplc="0EFC3018">
      <w:start w:val="1"/>
      <w:numFmt w:val="decimal"/>
      <w:lvlText w:val="%7."/>
      <w:lvlJc w:val="left"/>
      <w:pPr>
        <w:ind w:left="5040" w:hanging="360"/>
      </w:pPr>
    </w:lvl>
    <w:lvl w:ilvl="7" w:tplc="8710148C">
      <w:start w:val="1"/>
      <w:numFmt w:val="lowerLetter"/>
      <w:lvlText w:val="%8."/>
      <w:lvlJc w:val="left"/>
      <w:pPr>
        <w:ind w:left="5760" w:hanging="360"/>
      </w:pPr>
    </w:lvl>
    <w:lvl w:ilvl="8" w:tplc="C1207F2C">
      <w:start w:val="1"/>
      <w:numFmt w:val="lowerRoman"/>
      <w:lvlText w:val="%9."/>
      <w:lvlJc w:val="right"/>
      <w:pPr>
        <w:ind w:left="6480" w:hanging="180"/>
      </w:pPr>
    </w:lvl>
  </w:abstractNum>
  <w:abstractNum w:abstractNumId="11" w15:restartNumberingAfterBreak="0">
    <w:nsid w:val="66A64DDA"/>
    <w:multiLevelType w:val="hybridMultilevel"/>
    <w:tmpl w:val="F926BD0A"/>
    <w:lvl w:ilvl="0" w:tplc="CEBA4960">
      <w:start w:val="1"/>
      <w:numFmt w:val="decimal"/>
      <w:lvlText w:val="%1."/>
      <w:lvlJc w:val="left"/>
      <w:pPr>
        <w:ind w:left="720" w:hanging="360"/>
      </w:pPr>
    </w:lvl>
    <w:lvl w:ilvl="1" w:tplc="39C0FF7E">
      <w:start w:val="1"/>
      <w:numFmt w:val="lowerLetter"/>
      <w:lvlText w:val="%2."/>
      <w:lvlJc w:val="left"/>
      <w:pPr>
        <w:ind w:left="1440" w:hanging="360"/>
      </w:pPr>
    </w:lvl>
    <w:lvl w:ilvl="2" w:tplc="3BC8FB48">
      <w:start w:val="1"/>
      <w:numFmt w:val="lowerRoman"/>
      <w:lvlText w:val="%3."/>
      <w:lvlJc w:val="right"/>
      <w:pPr>
        <w:ind w:left="2160" w:hanging="180"/>
      </w:pPr>
    </w:lvl>
    <w:lvl w:ilvl="3" w:tplc="829C11D2">
      <w:start w:val="1"/>
      <w:numFmt w:val="decimal"/>
      <w:lvlText w:val="%4."/>
      <w:lvlJc w:val="left"/>
      <w:pPr>
        <w:ind w:left="2880" w:hanging="360"/>
      </w:pPr>
    </w:lvl>
    <w:lvl w:ilvl="4" w:tplc="E572DC60">
      <w:start w:val="1"/>
      <w:numFmt w:val="lowerLetter"/>
      <w:lvlText w:val="%5."/>
      <w:lvlJc w:val="left"/>
      <w:pPr>
        <w:ind w:left="3600" w:hanging="360"/>
      </w:pPr>
    </w:lvl>
    <w:lvl w:ilvl="5" w:tplc="E2FA4FEE">
      <w:start w:val="1"/>
      <w:numFmt w:val="lowerRoman"/>
      <w:lvlText w:val="%6."/>
      <w:lvlJc w:val="right"/>
      <w:pPr>
        <w:ind w:left="4320" w:hanging="180"/>
      </w:pPr>
    </w:lvl>
    <w:lvl w:ilvl="6" w:tplc="E85CA1B6">
      <w:start w:val="1"/>
      <w:numFmt w:val="decimal"/>
      <w:lvlText w:val="%7."/>
      <w:lvlJc w:val="left"/>
      <w:pPr>
        <w:ind w:left="5040" w:hanging="360"/>
      </w:pPr>
    </w:lvl>
    <w:lvl w:ilvl="7" w:tplc="632615C2">
      <w:start w:val="1"/>
      <w:numFmt w:val="lowerLetter"/>
      <w:lvlText w:val="%8."/>
      <w:lvlJc w:val="left"/>
      <w:pPr>
        <w:ind w:left="5760" w:hanging="360"/>
      </w:pPr>
    </w:lvl>
    <w:lvl w:ilvl="8" w:tplc="F1E4548C">
      <w:start w:val="1"/>
      <w:numFmt w:val="lowerRoman"/>
      <w:lvlText w:val="%9."/>
      <w:lvlJc w:val="right"/>
      <w:pPr>
        <w:ind w:left="6480" w:hanging="180"/>
      </w:pPr>
    </w:lvl>
  </w:abstractNum>
  <w:abstractNum w:abstractNumId="12" w15:restartNumberingAfterBreak="0">
    <w:nsid w:val="73DE5BBD"/>
    <w:multiLevelType w:val="hybridMultilevel"/>
    <w:tmpl w:val="F68CE774"/>
    <w:lvl w:ilvl="0" w:tplc="7EBEB902">
      <w:start w:val="1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885F883"/>
    <w:multiLevelType w:val="hybridMultilevel"/>
    <w:tmpl w:val="A16A0E78"/>
    <w:lvl w:ilvl="0" w:tplc="6106BE2E">
      <w:start w:val="1"/>
      <w:numFmt w:val="decimal"/>
      <w:lvlText w:val="%1."/>
      <w:lvlJc w:val="left"/>
      <w:pPr>
        <w:ind w:left="720" w:hanging="360"/>
      </w:pPr>
    </w:lvl>
    <w:lvl w:ilvl="1" w:tplc="70B09962">
      <w:start w:val="1"/>
      <w:numFmt w:val="lowerLetter"/>
      <w:lvlText w:val="%2."/>
      <w:lvlJc w:val="left"/>
      <w:pPr>
        <w:ind w:left="1440" w:hanging="360"/>
      </w:pPr>
    </w:lvl>
    <w:lvl w:ilvl="2" w:tplc="DD6AE5E0">
      <w:start w:val="1"/>
      <w:numFmt w:val="lowerRoman"/>
      <w:lvlText w:val="%3."/>
      <w:lvlJc w:val="right"/>
      <w:pPr>
        <w:ind w:left="2160" w:hanging="180"/>
      </w:pPr>
    </w:lvl>
    <w:lvl w:ilvl="3" w:tplc="7046A23E">
      <w:start w:val="1"/>
      <w:numFmt w:val="decimal"/>
      <w:lvlText w:val="%4."/>
      <w:lvlJc w:val="left"/>
      <w:pPr>
        <w:ind w:left="2880" w:hanging="360"/>
      </w:pPr>
    </w:lvl>
    <w:lvl w:ilvl="4" w:tplc="BD9A3218">
      <w:start w:val="1"/>
      <w:numFmt w:val="lowerLetter"/>
      <w:lvlText w:val="%5."/>
      <w:lvlJc w:val="left"/>
      <w:pPr>
        <w:ind w:left="3600" w:hanging="360"/>
      </w:pPr>
    </w:lvl>
    <w:lvl w:ilvl="5" w:tplc="53B8190E">
      <w:start w:val="1"/>
      <w:numFmt w:val="lowerRoman"/>
      <w:lvlText w:val="%6."/>
      <w:lvlJc w:val="right"/>
      <w:pPr>
        <w:ind w:left="4320" w:hanging="180"/>
      </w:pPr>
    </w:lvl>
    <w:lvl w:ilvl="6" w:tplc="6C70738C">
      <w:start w:val="1"/>
      <w:numFmt w:val="decimal"/>
      <w:lvlText w:val="%7."/>
      <w:lvlJc w:val="left"/>
      <w:pPr>
        <w:ind w:left="5040" w:hanging="360"/>
      </w:pPr>
    </w:lvl>
    <w:lvl w:ilvl="7" w:tplc="3618C1E6">
      <w:start w:val="1"/>
      <w:numFmt w:val="lowerLetter"/>
      <w:lvlText w:val="%8."/>
      <w:lvlJc w:val="left"/>
      <w:pPr>
        <w:ind w:left="5760" w:hanging="360"/>
      </w:pPr>
    </w:lvl>
    <w:lvl w:ilvl="8" w:tplc="4F9EBF5E">
      <w:start w:val="1"/>
      <w:numFmt w:val="lowerRoman"/>
      <w:lvlText w:val="%9."/>
      <w:lvlJc w:val="right"/>
      <w:pPr>
        <w:ind w:left="6480" w:hanging="180"/>
      </w:pPr>
    </w:lvl>
  </w:abstractNum>
  <w:num w:numId="1" w16cid:durableId="1792166995">
    <w:abstractNumId w:val="8"/>
  </w:num>
  <w:num w:numId="2" w16cid:durableId="1596284934">
    <w:abstractNumId w:val="3"/>
  </w:num>
  <w:num w:numId="3" w16cid:durableId="2087339967">
    <w:abstractNumId w:val="9"/>
  </w:num>
  <w:num w:numId="4" w16cid:durableId="2103715786">
    <w:abstractNumId w:val="13"/>
  </w:num>
  <w:num w:numId="5" w16cid:durableId="237442805">
    <w:abstractNumId w:val="5"/>
  </w:num>
  <w:num w:numId="6" w16cid:durableId="15622141">
    <w:abstractNumId w:val="10"/>
  </w:num>
  <w:num w:numId="7" w16cid:durableId="521556940">
    <w:abstractNumId w:val="11"/>
  </w:num>
  <w:num w:numId="8" w16cid:durableId="253129264">
    <w:abstractNumId w:val="0"/>
  </w:num>
  <w:num w:numId="9" w16cid:durableId="1490244118">
    <w:abstractNumId w:val="4"/>
  </w:num>
  <w:num w:numId="10" w16cid:durableId="2100104674">
    <w:abstractNumId w:val="12"/>
  </w:num>
  <w:num w:numId="11" w16cid:durableId="1902590347">
    <w:abstractNumId w:val="1"/>
  </w:num>
  <w:num w:numId="12" w16cid:durableId="287853607">
    <w:abstractNumId w:val="2"/>
  </w:num>
  <w:num w:numId="13" w16cid:durableId="1169056177">
    <w:abstractNumId w:val="6"/>
  </w:num>
  <w:num w:numId="14" w16cid:durableId="1966812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98"/>
    <w:rsid w:val="00006331"/>
    <w:rsid w:val="00012344"/>
    <w:rsid w:val="00014F5A"/>
    <w:rsid w:val="00023164"/>
    <w:rsid w:val="000271B9"/>
    <w:rsid w:val="00027D63"/>
    <w:rsid w:val="0003341C"/>
    <w:rsid w:val="00045B8A"/>
    <w:rsid w:val="00050298"/>
    <w:rsid w:val="000644AF"/>
    <w:rsid w:val="00064F97"/>
    <w:rsid w:val="0006568E"/>
    <w:rsid w:val="000728F7"/>
    <w:rsid w:val="00072B47"/>
    <w:rsid w:val="00073274"/>
    <w:rsid w:val="00076392"/>
    <w:rsid w:val="00077F3F"/>
    <w:rsid w:val="00087285"/>
    <w:rsid w:val="000B0010"/>
    <w:rsid w:val="000B66D4"/>
    <w:rsid w:val="000D2645"/>
    <w:rsid w:val="000D3EE2"/>
    <w:rsid w:val="000F2F03"/>
    <w:rsid w:val="000F6F85"/>
    <w:rsid w:val="00104D19"/>
    <w:rsid w:val="001068BF"/>
    <w:rsid w:val="00116A7E"/>
    <w:rsid w:val="00130CF1"/>
    <w:rsid w:val="00131A52"/>
    <w:rsid w:val="00142DBB"/>
    <w:rsid w:val="00145F5E"/>
    <w:rsid w:val="00157FC3"/>
    <w:rsid w:val="00162166"/>
    <w:rsid w:val="00166849"/>
    <w:rsid w:val="00176531"/>
    <w:rsid w:val="0017CDEB"/>
    <w:rsid w:val="0018272E"/>
    <w:rsid w:val="00183C10"/>
    <w:rsid w:val="001951E5"/>
    <w:rsid w:val="001A4E42"/>
    <w:rsid w:val="001C7E26"/>
    <w:rsid w:val="001D2480"/>
    <w:rsid w:val="001D7E37"/>
    <w:rsid w:val="001E4E25"/>
    <w:rsid w:val="00203067"/>
    <w:rsid w:val="0023402B"/>
    <w:rsid w:val="00235FD0"/>
    <w:rsid w:val="00236347"/>
    <w:rsid w:val="0023685A"/>
    <w:rsid w:val="00236E6A"/>
    <w:rsid w:val="002505C3"/>
    <w:rsid w:val="002506F6"/>
    <w:rsid w:val="0026337A"/>
    <w:rsid w:val="002637B3"/>
    <w:rsid w:val="00295ECD"/>
    <w:rsid w:val="002A2924"/>
    <w:rsid w:val="002A38C1"/>
    <w:rsid w:val="002A5579"/>
    <w:rsid w:val="002B1A8C"/>
    <w:rsid w:val="002B354C"/>
    <w:rsid w:val="002B614F"/>
    <w:rsid w:val="002C03FA"/>
    <w:rsid w:val="002C581A"/>
    <w:rsid w:val="002C6A84"/>
    <w:rsid w:val="002D4D61"/>
    <w:rsid w:val="002D69AA"/>
    <w:rsid w:val="002E7DA0"/>
    <w:rsid w:val="002F6C23"/>
    <w:rsid w:val="003154C7"/>
    <w:rsid w:val="00316CC2"/>
    <w:rsid w:val="003303B6"/>
    <w:rsid w:val="00344016"/>
    <w:rsid w:val="003465D3"/>
    <w:rsid w:val="00363896"/>
    <w:rsid w:val="003772B8"/>
    <w:rsid w:val="00377FBC"/>
    <w:rsid w:val="0038701D"/>
    <w:rsid w:val="00387A67"/>
    <w:rsid w:val="0039091F"/>
    <w:rsid w:val="00395356"/>
    <w:rsid w:val="00395B1F"/>
    <w:rsid w:val="003A5E47"/>
    <w:rsid w:val="003A61C4"/>
    <w:rsid w:val="003B60C8"/>
    <w:rsid w:val="003C03D4"/>
    <w:rsid w:val="003C1FE1"/>
    <w:rsid w:val="003D0A43"/>
    <w:rsid w:val="003D550C"/>
    <w:rsid w:val="003E3D7C"/>
    <w:rsid w:val="003E607A"/>
    <w:rsid w:val="003E7D02"/>
    <w:rsid w:val="003ED293"/>
    <w:rsid w:val="003F1148"/>
    <w:rsid w:val="003F16E2"/>
    <w:rsid w:val="003F1E07"/>
    <w:rsid w:val="003F2015"/>
    <w:rsid w:val="003F4234"/>
    <w:rsid w:val="00407BDC"/>
    <w:rsid w:val="00420EC9"/>
    <w:rsid w:val="00427D95"/>
    <w:rsid w:val="00437DEC"/>
    <w:rsid w:val="00451944"/>
    <w:rsid w:val="00453FE0"/>
    <w:rsid w:val="004625D8"/>
    <w:rsid w:val="00466D0D"/>
    <w:rsid w:val="00471EBE"/>
    <w:rsid w:val="00474E3B"/>
    <w:rsid w:val="00492858"/>
    <w:rsid w:val="004A6621"/>
    <w:rsid w:val="004A7B15"/>
    <w:rsid w:val="004B3145"/>
    <w:rsid w:val="004B6E37"/>
    <w:rsid w:val="004E0E66"/>
    <w:rsid w:val="004E3A14"/>
    <w:rsid w:val="004E7F08"/>
    <w:rsid w:val="005161C3"/>
    <w:rsid w:val="00523F36"/>
    <w:rsid w:val="005273DE"/>
    <w:rsid w:val="005368BF"/>
    <w:rsid w:val="00555DBF"/>
    <w:rsid w:val="005573A7"/>
    <w:rsid w:val="00560B3D"/>
    <w:rsid w:val="00564F1E"/>
    <w:rsid w:val="005901E5"/>
    <w:rsid w:val="005926B3"/>
    <w:rsid w:val="005C6B24"/>
    <w:rsid w:val="005C7BBE"/>
    <w:rsid w:val="005F06A5"/>
    <w:rsid w:val="005F0AF0"/>
    <w:rsid w:val="005F38E3"/>
    <w:rsid w:val="005F64D0"/>
    <w:rsid w:val="00606FEF"/>
    <w:rsid w:val="00611066"/>
    <w:rsid w:val="0061139F"/>
    <w:rsid w:val="00611639"/>
    <w:rsid w:val="00617279"/>
    <w:rsid w:val="006217ED"/>
    <w:rsid w:val="00634F5E"/>
    <w:rsid w:val="00637393"/>
    <w:rsid w:val="00643B89"/>
    <w:rsid w:val="00645058"/>
    <w:rsid w:val="006474AA"/>
    <w:rsid w:val="00650716"/>
    <w:rsid w:val="00653F63"/>
    <w:rsid w:val="006667BB"/>
    <w:rsid w:val="00667BBB"/>
    <w:rsid w:val="00672CE7"/>
    <w:rsid w:val="00680CA4"/>
    <w:rsid w:val="006A61D6"/>
    <w:rsid w:val="006A6A85"/>
    <w:rsid w:val="006B309B"/>
    <w:rsid w:val="006D468C"/>
    <w:rsid w:val="006D55DA"/>
    <w:rsid w:val="006E2B06"/>
    <w:rsid w:val="006E7D88"/>
    <w:rsid w:val="006F7751"/>
    <w:rsid w:val="007007A1"/>
    <w:rsid w:val="007031F5"/>
    <w:rsid w:val="00715BA8"/>
    <w:rsid w:val="00725CC8"/>
    <w:rsid w:val="00745FA0"/>
    <w:rsid w:val="00754AAE"/>
    <w:rsid w:val="00755B14"/>
    <w:rsid w:val="00756F52"/>
    <w:rsid w:val="007838D2"/>
    <w:rsid w:val="00796546"/>
    <w:rsid w:val="007B1245"/>
    <w:rsid w:val="007C305B"/>
    <w:rsid w:val="007C32D0"/>
    <w:rsid w:val="007E1F54"/>
    <w:rsid w:val="007E4868"/>
    <w:rsid w:val="007E6AAF"/>
    <w:rsid w:val="007E7BD7"/>
    <w:rsid w:val="007F321E"/>
    <w:rsid w:val="00800F42"/>
    <w:rsid w:val="00811627"/>
    <w:rsid w:val="008167B7"/>
    <w:rsid w:val="00817B34"/>
    <w:rsid w:val="0082017A"/>
    <w:rsid w:val="00820CA6"/>
    <w:rsid w:val="008210E5"/>
    <w:rsid w:val="00823586"/>
    <w:rsid w:val="00823904"/>
    <w:rsid w:val="00827F3F"/>
    <w:rsid w:val="00835231"/>
    <w:rsid w:val="00835C56"/>
    <w:rsid w:val="00853EFD"/>
    <w:rsid w:val="00867930"/>
    <w:rsid w:val="00870982"/>
    <w:rsid w:val="008763E6"/>
    <w:rsid w:val="008827C3"/>
    <w:rsid w:val="0088718D"/>
    <w:rsid w:val="0089308E"/>
    <w:rsid w:val="008B17B1"/>
    <w:rsid w:val="008B3BD2"/>
    <w:rsid w:val="008B53D4"/>
    <w:rsid w:val="008E20D9"/>
    <w:rsid w:val="008E651F"/>
    <w:rsid w:val="008F20C6"/>
    <w:rsid w:val="00904144"/>
    <w:rsid w:val="009046A2"/>
    <w:rsid w:val="00906C28"/>
    <w:rsid w:val="00917194"/>
    <w:rsid w:val="00930481"/>
    <w:rsid w:val="0094006F"/>
    <w:rsid w:val="009428C9"/>
    <w:rsid w:val="00950E63"/>
    <w:rsid w:val="0095181D"/>
    <w:rsid w:val="0095211F"/>
    <w:rsid w:val="00975D92"/>
    <w:rsid w:val="009806CC"/>
    <w:rsid w:val="00987A18"/>
    <w:rsid w:val="00997543"/>
    <w:rsid w:val="009A292B"/>
    <w:rsid w:val="009B6C4C"/>
    <w:rsid w:val="009C7710"/>
    <w:rsid w:val="009D09C7"/>
    <w:rsid w:val="009E2337"/>
    <w:rsid w:val="009E30AF"/>
    <w:rsid w:val="009E3C6C"/>
    <w:rsid w:val="009F0030"/>
    <w:rsid w:val="00A00BAD"/>
    <w:rsid w:val="00A10704"/>
    <w:rsid w:val="00A20017"/>
    <w:rsid w:val="00A3006B"/>
    <w:rsid w:val="00A406B1"/>
    <w:rsid w:val="00A41C68"/>
    <w:rsid w:val="00A44001"/>
    <w:rsid w:val="00A47E69"/>
    <w:rsid w:val="00A63505"/>
    <w:rsid w:val="00A75A58"/>
    <w:rsid w:val="00A77F1B"/>
    <w:rsid w:val="00A81AA4"/>
    <w:rsid w:val="00A870F8"/>
    <w:rsid w:val="00A8725D"/>
    <w:rsid w:val="00A914B9"/>
    <w:rsid w:val="00A92E41"/>
    <w:rsid w:val="00A9548D"/>
    <w:rsid w:val="00A965CD"/>
    <w:rsid w:val="00AA244B"/>
    <w:rsid w:val="00AA3D94"/>
    <w:rsid w:val="00AD331A"/>
    <w:rsid w:val="00AE7903"/>
    <w:rsid w:val="00B25D71"/>
    <w:rsid w:val="00B30EDE"/>
    <w:rsid w:val="00B32D92"/>
    <w:rsid w:val="00B34BA3"/>
    <w:rsid w:val="00B37827"/>
    <w:rsid w:val="00B46CB0"/>
    <w:rsid w:val="00B60994"/>
    <w:rsid w:val="00B632D8"/>
    <w:rsid w:val="00B66E30"/>
    <w:rsid w:val="00B69B03"/>
    <w:rsid w:val="00B7065F"/>
    <w:rsid w:val="00B75703"/>
    <w:rsid w:val="00B86B29"/>
    <w:rsid w:val="00B92D95"/>
    <w:rsid w:val="00B96AE6"/>
    <w:rsid w:val="00BB0676"/>
    <w:rsid w:val="00BC35D8"/>
    <w:rsid w:val="00BC3A14"/>
    <w:rsid w:val="00BC6512"/>
    <w:rsid w:val="00BC794A"/>
    <w:rsid w:val="00BD0210"/>
    <w:rsid w:val="00BF27AB"/>
    <w:rsid w:val="00C10A5E"/>
    <w:rsid w:val="00C247C2"/>
    <w:rsid w:val="00C25016"/>
    <w:rsid w:val="00C307C7"/>
    <w:rsid w:val="00C30D0C"/>
    <w:rsid w:val="00C34856"/>
    <w:rsid w:val="00C40D57"/>
    <w:rsid w:val="00C429E0"/>
    <w:rsid w:val="00C42EAA"/>
    <w:rsid w:val="00C4F43B"/>
    <w:rsid w:val="00C50C0D"/>
    <w:rsid w:val="00C50D3E"/>
    <w:rsid w:val="00C51369"/>
    <w:rsid w:val="00C52DF9"/>
    <w:rsid w:val="00C54194"/>
    <w:rsid w:val="00C631DD"/>
    <w:rsid w:val="00C654BE"/>
    <w:rsid w:val="00C6681B"/>
    <w:rsid w:val="00C6A6D9"/>
    <w:rsid w:val="00C75814"/>
    <w:rsid w:val="00C835ED"/>
    <w:rsid w:val="00C96949"/>
    <w:rsid w:val="00C969F6"/>
    <w:rsid w:val="00CB05A4"/>
    <w:rsid w:val="00CC0345"/>
    <w:rsid w:val="00CC1C2F"/>
    <w:rsid w:val="00CE2474"/>
    <w:rsid w:val="00CF2DDC"/>
    <w:rsid w:val="00CF442F"/>
    <w:rsid w:val="00D00487"/>
    <w:rsid w:val="00D01A57"/>
    <w:rsid w:val="00D1333D"/>
    <w:rsid w:val="00D308AF"/>
    <w:rsid w:val="00D31654"/>
    <w:rsid w:val="00D3515E"/>
    <w:rsid w:val="00D42613"/>
    <w:rsid w:val="00D471CC"/>
    <w:rsid w:val="00D53143"/>
    <w:rsid w:val="00D5337A"/>
    <w:rsid w:val="00D53773"/>
    <w:rsid w:val="00D548A1"/>
    <w:rsid w:val="00D712CD"/>
    <w:rsid w:val="00D72B80"/>
    <w:rsid w:val="00DA187D"/>
    <w:rsid w:val="00DA1A05"/>
    <w:rsid w:val="00DA6E5A"/>
    <w:rsid w:val="00DD37FA"/>
    <w:rsid w:val="00DD48F5"/>
    <w:rsid w:val="00DD4AAB"/>
    <w:rsid w:val="00DE37E2"/>
    <w:rsid w:val="00DE748A"/>
    <w:rsid w:val="00E04D65"/>
    <w:rsid w:val="00E05C44"/>
    <w:rsid w:val="00E05FD9"/>
    <w:rsid w:val="00E24D90"/>
    <w:rsid w:val="00E251E5"/>
    <w:rsid w:val="00E25EB5"/>
    <w:rsid w:val="00E27121"/>
    <w:rsid w:val="00E3097A"/>
    <w:rsid w:val="00E31F48"/>
    <w:rsid w:val="00E660F2"/>
    <w:rsid w:val="00E675B8"/>
    <w:rsid w:val="00E725BE"/>
    <w:rsid w:val="00E7360C"/>
    <w:rsid w:val="00E8604D"/>
    <w:rsid w:val="00E87A0A"/>
    <w:rsid w:val="00E90433"/>
    <w:rsid w:val="00E97A18"/>
    <w:rsid w:val="00EB049D"/>
    <w:rsid w:val="00ED3353"/>
    <w:rsid w:val="00ED66A4"/>
    <w:rsid w:val="00EE2B65"/>
    <w:rsid w:val="00EF5AEF"/>
    <w:rsid w:val="00EF77DE"/>
    <w:rsid w:val="00F07546"/>
    <w:rsid w:val="00F308A7"/>
    <w:rsid w:val="00F36A54"/>
    <w:rsid w:val="00F67AB2"/>
    <w:rsid w:val="00F74402"/>
    <w:rsid w:val="00F93784"/>
    <w:rsid w:val="00FB1E3F"/>
    <w:rsid w:val="00FB21FB"/>
    <w:rsid w:val="00FB52A5"/>
    <w:rsid w:val="00FB6DEC"/>
    <w:rsid w:val="00FC4CCF"/>
    <w:rsid w:val="00FD1C8B"/>
    <w:rsid w:val="00FD33BF"/>
    <w:rsid w:val="00FD5B46"/>
    <w:rsid w:val="00FF4B38"/>
    <w:rsid w:val="00FF50E4"/>
    <w:rsid w:val="00FF75AF"/>
    <w:rsid w:val="013DC1DF"/>
    <w:rsid w:val="01711180"/>
    <w:rsid w:val="01D1AFE9"/>
    <w:rsid w:val="0234A82C"/>
    <w:rsid w:val="023CB60A"/>
    <w:rsid w:val="0259D603"/>
    <w:rsid w:val="0269B742"/>
    <w:rsid w:val="026FB1D2"/>
    <w:rsid w:val="0301AFFC"/>
    <w:rsid w:val="03937FE3"/>
    <w:rsid w:val="0429CE04"/>
    <w:rsid w:val="045E57F2"/>
    <w:rsid w:val="046410E1"/>
    <w:rsid w:val="047041DE"/>
    <w:rsid w:val="0475DB54"/>
    <w:rsid w:val="04D10FEF"/>
    <w:rsid w:val="04D73871"/>
    <w:rsid w:val="05A0A611"/>
    <w:rsid w:val="05BD845E"/>
    <w:rsid w:val="05C69E11"/>
    <w:rsid w:val="05C99771"/>
    <w:rsid w:val="05E808BE"/>
    <w:rsid w:val="06767BBE"/>
    <w:rsid w:val="06C76F82"/>
    <w:rsid w:val="06E76BCA"/>
    <w:rsid w:val="0740F7A1"/>
    <w:rsid w:val="08382A90"/>
    <w:rsid w:val="08AAE6EE"/>
    <w:rsid w:val="0922D96E"/>
    <w:rsid w:val="099C7524"/>
    <w:rsid w:val="0A139929"/>
    <w:rsid w:val="0A1D26EA"/>
    <w:rsid w:val="0A48702C"/>
    <w:rsid w:val="0A5E5D37"/>
    <w:rsid w:val="0A83CE4A"/>
    <w:rsid w:val="0AAE8596"/>
    <w:rsid w:val="0AFA65E8"/>
    <w:rsid w:val="0B355E5F"/>
    <w:rsid w:val="0B472564"/>
    <w:rsid w:val="0C26BA90"/>
    <w:rsid w:val="0CE8B9B8"/>
    <w:rsid w:val="0D38EA35"/>
    <w:rsid w:val="0D870A36"/>
    <w:rsid w:val="0E0DD9D5"/>
    <w:rsid w:val="0E23A4DC"/>
    <w:rsid w:val="0E496BC7"/>
    <w:rsid w:val="0EFC06C6"/>
    <w:rsid w:val="0F1ED9EE"/>
    <w:rsid w:val="0F210D15"/>
    <w:rsid w:val="0F2C4E11"/>
    <w:rsid w:val="10056C70"/>
    <w:rsid w:val="10AC52FF"/>
    <w:rsid w:val="10C271D2"/>
    <w:rsid w:val="10C82F87"/>
    <w:rsid w:val="10EC7689"/>
    <w:rsid w:val="10F8E559"/>
    <w:rsid w:val="1150D6EE"/>
    <w:rsid w:val="115E401A"/>
    <w:rsid w:val="11855FD1"/>
    <w:rsid w:val="11B4615A"/>
    <w:rsid w:val="11C5B48E"/>
    <w:rsid w:val="11F783C8"/>
    <w:rsid w:val="1285844B"/>
    <w:rsid w:val="128B1E2D"/>
    <w:rsid w:val="12D1F50D"/>
    <w:rsid w:val="12EA4DF8"/>
    <w:rsid w:val="132CA6F6"/>
    <w:rsid w:val="1331EFA1"/>
    <w:rsid w:val="13EB4C46"/>
    <w:rsid w:val="140673F1"/>
    <w:rsid w:val="14966472"/>
    <w:rsid w:val="14A377C9"/>
    <w:rsid w:val="14A3B86E"/>
    <w:rsid w:val="14D0B2C3"/>
    <w:rsid w:val="14E4D7C2"/>
    <w:rsid w:val="151A4838"/>
    <w:rsid w:val="154ECFE4"/>
    <w:rsid w:val="15699F0B"/>
    <w:rsid w:val="158CD307"/>
    <w:rsid w:val="15AD2699"/>
    <w:rsid w:val="15CC148F"/>
    <w:rsid w:val="1690BA01"/>
    <w:rsid w:val="16CA2256"/>
    <w:rsid w:val="17351A61"/>
    <w:rsid w:val="17F5C0D8"/>
    <w:rsid w:val="19082152"/>
    <w:rsid w:val="198DC922"/>
    <w:rsid w:val="19B19A9C"/>
    <w:rsid w:val="19DABBA5"/>
    <w:rsid w:val="1AA982C9"/>
    <w:rsid w:val="1AE0C967"/>
    <w:rsid w:val="1B562397"/>
    <w:rsid w:val="1B7E4E4C"/>
    <w:rsid w:val="1B915653"/>
    <w:rsid w:val="1BECD698"/>
    <w:rsid w:val="1C36B22C"/>
    <w:rsid w:val="1CBB1B71"/>
    <w:rsid w:val="1D0196FD"/>
    <w:rsid w:val="1D111C4B"/>
    <w:rsid w:val="1D1C9282"/>
    <w:rsid w:val="1D449D2B"/>
    <w:rsid w:val="1DD67860"/>
    <w:rsid w:val="1DF652BB"/>
    <w:rsid w:val="1E95F9C0"/>
    <w:rsid w:val="1E969AB1"/>
    <w:rsid w:val="1E9CF124"/>
    <w:rsid w:val="1EFEB653"/>
    <w:rsid w:val="1F3F8EBD"/>
    <w:rsid w:val="1F63EC33"/>
    <w:rsid w:val="1F72BB86"/>
    <w:rsid w:val="1FA58FEA"/>
    <w:rsid w:val="1FB157E0"/>
    <w:rsid w:val="1FE583F6"/>
    <w:rsid w:val="201BFCEB"/>
    <w:rsid w:val="203F0544"/>
    <w:rsid w:val="209A5A1A"/>
    <w:rsid w:val="20E7C5C9"/>
    <w:rsid w:val="211153DD"/>
    <w:rsid w:val="21478D2F"/>
    <w:rsid w:val="21A2CC47"/>
    <w:rsid w:val="21AF9720"/>
    <w:rsid w:val="21BE055F"/>
    <w:rsid w:val="21EA546A"/>
    <w:rsid w:val="21F1A294"/>
    <w:rsid w:val="233DD0BA"/>
    <w:rsid w:val="236E7305"/>
    <w:rsid w:val="238294D6"/>
    <w:rsid w:val="23931985"/>
    <w:rsid w:val="23B0D9C3"/>
    <w:rsid w:val="23E7F3DE"/>
    <w:rsid w:val="23FC11E6"/>
    <w:rsid w:val="2429DE54"/>
    <w:rsid w:val="24389CB9"/>
    <w:rsid w:val="2446A77B"/>
    <w:rsid w:val="244852C7"/>
    <w:rsid w:val="246C7E9C"/>
    <w:rsid w:val="24813962"/>
    <w:rsid w:val="24D8E50A"/>
    <w:rsid w:val="24FD3453"/>
    <w:rsid w:val="255AE096"/>
    <w:rsid w:val="25D0A89F"/>
    <w:rsid w:val="25E1B01C"/>
    <w:rsid w:val="25FCBA52"/>
    <w:rsid w:val="2663DFB7"/>
    <w:rsid w:val="26DCE8A9"/>
    <w:rsid w:val="273B1C99"/>
    <w:rsid w:val="273DA9E0"/>
    <w:rsid w:val="277F1D22"/>
    <w:rsid w:val="27F899DC"/>
    <w:rsid w:val="2841015F"/>
    <w:rsid w:val="2883D417"/>
    <w:rsid w:val="29336DE0"/>
    <w:rsid w:val="295A1D98"/>
    <w:rsid w:val="296F1A20"/>
    <w:rsid w:val="2A2A4249"/>
    <w:rsid w:val="2A3F8D7E"/>
    <w:rsid w:val="2ABBC046"/>
    <w:rsid w:val="2AD90B15"/>
    <w:rsid w:val="2B1545B7"/>
    <w:rsid w:val="2B173F40"/>
    <w:rsid w:val="2B243B66"/>
    <w:rsid w:val="2B5125F9"/>
    <w:rsid w:val="2B7A3BCE"/>
    <w:rsid w:val="2BB2EBE3"/>
    <w:rsid w:val="2BB5F2AC"/>
    <w:rsid w:val="2BC21BD6"/>
    <w:rsid w:val="2C1A096D"/>
    <w:rsid w:val="2C1A6BB8"/>
    <w:rsid w:val="2C278578"/>
    <w:rsid w:val="2C4F5B4D"/>
    <w:rsid w:val="2C5E3CB6"/>
    <w:rsid w:val="2C68BA1F"/>
    <w:rsid w:val="2D0DC339"/>
    <w:rsid w:val="2D1CAF1E"/>
    <w:rsid w:val="2D56B649"/>
    <w:rsid w:val="2D73AF40"/>
    <w:rsid w:val="2D785460"/>
    <w:rsid w:val="2D79755D"/>
    <w:rsid w:val="2D94525D"/>
    <w:rsid w:val="2DBAE3CA"/>
    <w:rsid w:val="2DDB34B9"/>
    <w:rsid w:val="2E412970"/>
    <w:rsid w:val="2F001E71"/>
    <w:rsid w:val="2F10580F"/>
    <w:rsid w:val="2F7D24D7"/>
    <w:rsid w:val="2FA45B60"/>
    <w:rsid w:val="2FAB226F"/>
    <w:rsid w:val="2FB07B18"/>
    <w:rsid w:val="306CC224"/>
    <w:rsid w:val="30CA198C"/>
    <w:rsid w:val="30FA74DC"/>
    <w:rsid w:val="3143CBF2"/>
    <w:rsid w:val="3180B93E"/>
    <w:rsid w:val="31940C0F"/>
    <w:rsid w:val="31BB2F57"/>
    <w:rsid w:val="31EB8A75"/>
    <w:rsid w:val="320EE042"/>
    <w:rsid w:val="32C18E8D"/>
    <w:rsid w:val="33F8DE2A"/>
    <w:rsid w:val="3458F674"/>
    <w:rsid w:val="3469556C"/>
    <w:rsid w:val="3492A482"/>
    <w:rsid w:val="34C13EA9"/>
    <w:rsid w:val="34C15DC4"/>
    <w:rsid w:val="34C61D94"/>
    <w:rsid w:val="34D7593C"/>
    <w:rsid w:val="35175570"/>
    <w:rsid w:val="35470AC1"/>
    <w:rsid w:val="359CB759"/>
    <w:rsid w:val="3601A632"/>
    <w:rsid w:val="362CDBFA"/>
    <w:rsid w:val="36473BEC"/>
    <w:rsid w:val="366DD0DC"/>
    <w:rsid w:val="3696C608"/>
    <w:rsid w:val="36B438F0"/>
    <w:rsid w:val="36C2602D"/>
    <w:rsid w:val="36EE9297"/>
    <w:rsid w:val="37032984"/>
    <w:rsid w:val="375E1AEA"/>
    <w:rsid w:val="37896719"/>
    <w:rsid w:val="37D53361"/>
    <w:rsid w:val="37F3AEB7"/>
    <w:rsid w:val="383AB11A"/>
    <w:rsid w:val="38A4DF5A"/>
    <w:rsid w:val="38B5AFDC"/>
    <w:rsid w:val="38E348E8"/>
    <w:rsid w:val="39B064A2"/>
    <w:rsid w:val="39B67A60"/>
    <w:rsid w:val="3A3D56B0"/>
    <w:rsid w:val="3A78B043"/>
    <w:rsid w:val="3A9CCABA"/>
    <w:rsid w:val="3AB10FC6"/>
    <w:rsid w:val="3ABB9E4B"/>
    <w:rsid w:val="3B74BDAB"/>
    <w:rsid w:val="3BD6C047"/>
    <w:rsid w:val="3C677F2C"/>
    <w:rsid w:val="3C76B0A5"/>
    <w:rsid w:val="3CB40349"/>
    <w:rsid w:val="3D2386CB"/>
    <w:rsid w:val="3D69E906"/>
    <w:rsid w:val="3D83C995"/>
    <w:rsid w:val="3D8B2754"/>
    <w:rsid w:val="3DCD25CC"/>
    <w:rsid w:val="3E0B98C1"/>
    <w:rsid w:val="3E0D1859"/>
    <w:rsid w:val="3E15FE85"/>
    <w:rsid w:val="3E92F7B1"/>
    <w:rsid w:val="3EF3F502"/>
    <w:rsid w:val="3F20912B"/>
    <w:rsid w:val="3F453054"/>
    <w:rsid w:val="3F7C2D0A"/>
    <w:rsid w:val="3FD90EAF"/>
    <w:rsid w:val="3FF62EF1"/>
    <w:rsid w:val="401B1ADC"/>
    <w:rsid w:val="402D3419"/>
    <w:rsid w:val="403A7A8C"/>
    <w:rsid w:val="40450B93"/>
    <w:rsid w:val="40A08B01"/>
    <w:rsid w:val="40D074E5"/>
    <w:rsid w:val="40F9CDB5"/>
    <w:rsid w:val="4107217F"/>
    <w:rsid w:val="4126DA7F"/>
    <w:rsid w:val="4156087A"/>
    <w:rsid w:val="4172BE4B"/>
    <w:rsid w:val="4188DCF4"/>
    <w:rsid w:val="4194C516"/>
    <w:rsid w:val="41ADC9CC"/>
    <w:rsid w:val="41D85FF6"/>
    <w:rsid w:val="41F05202"/>
    <w:rsid w:val="42469724"/>
    <w:rsid w:val="429B91F2"/>
    <w:rsid w:val="42A5ECDE"/>
    <w:rsid w:val="42A7E12D"/>
    <w:rsid w:val="431D75E5"/>
    <w:rsid w:val="435136FE"/>
    <w:rsid w:val="435E9078"/>
    <w:rsid w:val="437F9B6A"/>
    <w:rsid w:val="4385E5AB"/>
    <w:rsid w:val="43D05C38"/>
    <w:rsid w:val="443DCA27"/>
    <w:rsid w:val="446682BC"/>
    <w:rsid w:val="448DE295"/>
    <w:rsid w:val="450BE381"/>
    <w:rsid w:val="451EC6AD"/>
    <w:rsid w:val="453E41B2"/>
    <w:rsid w:val="456F05D0"/>
    <w:rsid w:val="45858845"/>
    <w:rsid w:val="4593BF81"/>
    <w:rsid w:val="45B3620B"/>
    <w:rsid w:val="46343505"/>
    <w:rsid w:val="46B02B3E"/>
    <w:rsid w:val="46CD7D43"/>
    <w:rsid w:val="46DC9939"/>
    <w:rsid w:val="46E3107F"/>
    <w:rsid w:val="46EC5A2F"/>
    <w:rsid w:val="46EFCB0F"/>
    <w:rsid w:val="470D4C48"/>
    <w:rsid w:val="4770329D"/>
    <w:rsid w:val="47D7B3DA"/>
    <w:rsid w:val="4802E85E"/>
    <w:rsid w:val="487B9450"/>
    <w:rsid w:val="48A78C48"/>
    <w:rsid w:val="48B8F8F1"/>
    <w:rsid w:val="48C1D4E0"/>
    <w:rsid w:val="48E91711"/>
    <w:rsid w:val="493A8703"/>
    <w:rsid w:val="49424311"/>
    <w:rsid w:val="4948A4EC"/>
    <w:rsid w:val="495B54C3"/>
    <w:rsid w:val="49E5A442"/>
    <w:rsid w:val="4A334F54"/>
    <w:rsid w:val="4A6AA381"/>
    <w:rsid w:val="4AA00074"/>
    <w:rsid w:val="4ADBDF34"/>
    <w:rsid w:val="4B5E4BC9"/>
    <w:rsid w:val="4BFFC76F"/>
    <w:rsid w:val="4C042DC9"/>
    <w:rsid w:val="4C884660"/>
    <w:rsid w:val="4C8B4141"/>
    <w:rsid w:val="4CF4E6B4"/>
    <w:rsid w:val="4CFEED5F"/>
    <w:rsid w:val="4D0FC805"/>
    <w:rsid w:val="4D66B805"/>
    <w:rsid w:val="4D6842F2"/>
    <w:rsid w:val="4DF47892"/>
    <w:rsid w:val="4E73368F"/>
    <w:rsid w:val="4ECBFA56"/>
    <w:rsid w:val="4EDD5A25"/>
    <w:rsid w:val="4EDEDA8E"/>
    <w:rsid w:val="4F3249D8"/>
    <w:rsid w:val="4FC39A1D"/>
    <w:rsid w:val="4FFECF36"/>
    <w:rsid w:val="50898D58"/>
    <w:rsid w:val="5101B4DE"/>
    <w:rsid w:val="51EBFD4F"/>
    <w:rsid w:val="520E9BF4"/>
    <w:rsid w:val="52123227"/>
    <w:rsid w:val="5231B264"/>
    <w:rsid w:val="526C5EE9"/>
    <w:rsid w:val="526F6C1C"/>
    <w:rsid w:val="529E396D"/>
    <w:rsid w:val="52B46067"/>
    <w:rsid w:val="5356A500"/>
    <w:rsid w:val="535CE5E8"/>
    <w:rsid w:val="53B31C85"/>
    <w:rsid w:val="53BAD105"/>
    <w:rsid w:val="5449A2BB"/>
    <w:rsid w:val="54D3933E"/>
    <w:rsid w:val="54DE743A"/>
    <w:rsid w:val="54DFFB82"/>
    <w:rsid w:val="55175148"/>
    <w:rsid w:val="5563BCC9"/>
    <w:rsid w:val="559914D0"/>
    <w:rsid w:val="55A00004"/>
    <w:rsid w:val="55DCE4A6"/>
    <w:rsid w:val="570D9321"/>
    <w:rsid w:val="57300B23"/>
    <w:rsid w:val="57407B48"/>
    <w:rsid w:val="57441ECD"/>
    <w:rsid w:val="57AB7ADA"/>
    <w:rsid w:val="57EA707A"/>
    <w:rsid w:val="581FDB5D"/>
    <w:rsid w:val="58378523"/>
    <w:rsid w:val="58378557"/>
    <w:rsid w:val="587B6B0E"/>
    <w:rsid w:val="594A4F7A"/>
    <w:rsid w:val="599D23F4"/>
    <w:rsid w:val="59CA101E"/>
    <w:rsid w:val="59FBE0BC"/>
    <w:rsid w:val="5A633398"/>
    <w:rsid w:val="5A9B5E08"/>
    <w:rsid w:val="5A9F876E"/>
    <w:rsid w:val="5AC8312E"/>
    <w:rsid w:val="5ACCE43B"/>
    <w:rsid w:val="5AE5C42B"/>
    <w:rsid w:val="5AF5FCF4"/>
    <w:rsid w:val="5AF95480"/>
    <w:rsid w:val="5B4CD9D0"/>
    <w:rsid w:val="5B5F8E3B"/>
    <w:rsid w:val="5B85063D"/>
    <w:rsid w:val="5B968AAC"/>
    <w:rsid w:val="5BCBEA40"/>
    <w:rsid w:val="5BD71085"/>
    <w:rsid w:val="5BD76F7F"/>
    <w:rsid w:val="5BFE2BD0"/>
    <w:rsid w:val="5C08B387"/>
    <w:rsid w:val="5C6CD7B3"/>
    <w:rsid w:val="5C79D8E6"/>
    <w:rsid w:val="5D063D8C"/>
    <w:rsid w:val="5D522F1A"/>
    <w:rsid w:val="5D60A885"/>
    <w:rsid w:val="5DC9A8D6"/>
    <w:rsid w:val="5E0A0643"/>
    <w:rsid w:val="5E27C2CE"/>
    <w:rsid w:val="5E507729"/>
    <w:rsid w:val="5EC7F595"/>
    <w:rsid w:val="5EC9DB4C"/>
    <w:rsid w:val="5ECEEDCB"/>
    <w:rsid w:val="5EDA3F91"/>
    <w:rsid w:val="5EE798B8"/>
    <w:rsid w:val="5F48A0BA"/>
    <w:rsid w:val="5F55738E"/>
    <w:rsid w:val="60335329"/>
    <w:rsid w:val="603FAA1C"/>
    <w:rsid w:val="61ED81EF"/>
    <w:rsid w:val="61F9A33A"/>
    <w:rsid w:val="621B1672"/>
    <w:rsid w:val="62585BE3"/>
    <w:rsid w:val="62890AF7"/>
    <w:rsid w:val="628A39A5"/>
    <w:rsid w:val="62F7CCD9"/>
    <w:rsid w:val="632AD550"/>
    <w:rsid w:val="63422CCE"/>
    <w:rsid w:val="636D7380"/>
    <w:rsid w:val="63B82812"/>
    <w:rsid w:val="63C816A9"/>
    <w:rsid w:val="63FB3335"/>
    <w:rsid w:val="64C6936C"/>
    <w:rsid w:val="64D7EC33"/>
    <w:rsid w:val="651B646B"/>
    <w:rsid w:val="652FEA83"/>
    <w:rsid w:val="6532F6BA"/>
    <w:rsid w:val="6551E85F"/>
    <w:rsid w:val="659D52D2"/>
    <w:rsid w:val="66351B00"/>
    <w:rsid w:val="667C6025"/>
    <w:rsid w:val="66A4074C"/>
    <w:rsid w:val="66A87178"/>
    <w:rsid w:val="66C210D2"/>
    <w:rsid w:val="66C7094B"/>
    <w:rsid w:val="66D7ABBC"/>
    <w:rsid w:val="66DF05B1"/>
    <w:rsid w:val="6725112C"/>
    <w:rsid w:val="6755657C"/>
    <w:rsid w:val="676EBE86"/>
    <w:rsid w:val="67BB5302"/>
    <w:rsid w:val="67CD5E81"/>
    <w:rsid w:val="67CE613D"/>
    <w:rsid w:val="67EBACC1"/>
    <w:rsid w:val="68C36DFC"/>
    <w:rsid w:val="695809F5"/>
    <w:rsid w:val="6A17DBD4"/>
    <w:rsid w:val="6A295DA7"/>
    <w:rsid w:val="6ACCE345"/>
    <w:rsid w:val="6ADF9F11"/>
    <w:rsid w:val="6B2874FE"/>
    <w:rsid w:val="6B65381B"/>
    <w:rsid w:val="6B889F6B"/>
    <w:rsid w:val="6B973514"/>
    <w:rsid w:val="6BAEFCE2"/>
    <w:rsid w:val="6C00EF4C"/>
    <w:rsid w:val="6C479AF4"/>
    <w:rsid w:val="6C47E393"/>
    <w:rsid w:val="6CD72F2A"/>
    <w:rsid w:val="6D53E078"/>
    <w:rsid w:val="6D6B2ABF"/>
    <w:rsid w:val="6E148F0B"/>
    <w:rsid w:val="6E4440AE"/>
    <w:rsid w:val="6E5C0767"/>
    <w:rsid w:val="6E64FF09"/>
    <w:rsid w:val="6E68E86E"/>
    <w:rsid w:val="6E83B9AD"/>
    <w:rsid w:val="6EAB3274"/>
    <w:rsid w:val="6EF822F9"/>
    <w:rsid w:val="6F04F844"/>
    <w:rsid w:val="6F84C5B4"/>
    <w:rsid w:val="6FD02E23"/>
    <w:rsid w:val="6FE1D43C"/>
    <w:rsid w:val="6FF9AC58"/>
    <w:rsid w:val="70508B6C"/>
    <w:rsid w:val="70833905"/>
    <w:rsid w:val="70E8BB8D"/>
    <w:rsid w:val="71029937"/>
    <w:rsid w:val="7119C29D"/>
    <w:rsid w:val="71270DDE"/>
    <w:rsid w:val="71CE7111"/>
    <w:rsid w:val="72063A72"/>
    <w:rsid w:val="7240EB41"/>
    <w:rsid w:val="72956B06"/>
    <w:rsid w:val="72B2E3E7"/>
    <w:rsid w:val="730000BC"/>
    <w:rsid w:val="734B0D4E"/>
    <w:rsid w:val="73B9F5CE"/>
    <w:rsid w:val="73F4508C"/>
    <w:rsid w:val="74286DFC"/>
    <w:rsid w:val="742E31AF"/>
    <w:rsid w:val="7486292F"/>
    <w:rsid w:val="74B99973"/>
    <w:rsid w:val="75069D32"/>
    <w:rsid w:val="750B3504"/>
    <w:rsid w:val="756D1171"/>
    <w:rsid w:val="759DFDEB"/>
    <w:rsid w:val="75C9FACD"/>
    <w:rsid w:val="75D5BF1E"/>
    <w:rsid w:val="75F7DB8F"/>
    <w:rsid w:val="769C8351"/>
    <w:rsid w:val="7739F958"/>
    <w:rsid w:val="775D6C25"/>
    <w:rsid w:val="77D0FDCA"/>
    <w:rsid w:val="7863C03F"/>
    <w:rsid w:val="78692437"/>
    <w:rsid w:val="78B7F450"/>
    <w:rsid w:val="79789A9C"/>
    <w:rsid w:val="79A11F29"/>
    <w:rsid w:val="79D47BBB"/>
    <w:rsid w:val="79E7F577"/>
    <w:rsid w:val="7A9581B1"/>
    <w:rsid w:val="7A9F4256"/>
    <w:rsid w:val="7B5726F1"/>
    <w:rsid w:val="7B702466"/>
    <w:rsid w:val="7CC0CD3D"/>
    <w:rsid w:val="7D191ABF"/>
    <w:rsid w:val="7D4F3B90"/>
    <w:rsid w:val="7D81C31F"/>
    <w:rsid w:val="7D8AC5DE"/>
    <w:rsid w:val="7DF5C845"/>
    <w:rsid w:val="7E0320F2"/>
    <w:rsid w:val="7EA474A9"/>
    <w:rsid w:val="7EE23CA8"/>
    <w:rsid w:val="7EEF56B9"/>
    <w:rsid w:val="7F14950B"/>
    <w:rsid w:val="7F36D4C1"/>
    <w:rsid w:val="7F52951C"/>
    <w:rsid w:val="7F756367"/>
    <w:rsid w:val="7FBEB76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77CD"/>
  <w15:chartTrackingRefBased/>
  <w15:docId w15:val="{7ED60ECA-1F5F-4E3B-B4C3-2629BFF2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02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02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02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02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02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02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02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02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029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02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02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02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02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02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02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02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02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0298"/>
    <w:rPr>
      <w:rFonts w:eastAsiaTheme="majorEastAsia" w:cstheme="majorBidi"/>
      <w:color w:val="272727" w:themeColor="text1" w:themeTint="D8"/>
    </w:rPr>
  </w:style>
  <w:style w:type="paragraph" w:styleId="Ttulo">
    <w:name w:val="Title"/>
    <w:basedOn w:val="Normal"/>
    <w:next w:val="Normal"/>
    <w:link w:val="TtuloCar"/>
    <w:uiPriority w:val="10"/>
    <w:qFormat/>
    <w:rsid w:val="000502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02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02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02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0298"/>
    <w:pPr>
      <w:spacing w:before="160"/>
      <w:jc w:val="center"/>
    </w:pPr>
    <w:rPr>
      <w:i/>
      <w:iCs/>
      <w:color w:val="404040" w:themeColor="text1" w:themeTint="BF"/>
    </w:rPr>
  </w:style>
  <w:style w:type="character" w:customStyle="1" w:styleId="CitaCar">
    <w:name w:val="Cita Car"/>
    <w:basedOn w:val="Fuentedeprrafopredeter"/>
    <w:link w:val="Cita"/>
    <w:uiPriority w:val="29"/>
    <w:rsid w:val="00050298"/>
    <w:rPr>
      <w:i/>
      <w:iCs/>
      <w:color w:val="404040" w:themeColor="text1" w:themeTint="BF"/>
    </w:rPr>
  </w:style>
  <w:style w:type="paragraph" w:styleId="Prrafodelista">
    <w:name w:val="List Paragraph"/>
    <w:basedOn w:val="Normal"/>
    <w:uiPriority w:val="34"/>
    <w:qFormat/>
    <w:rsid w:val="00050298"/>
    <w:pPr>
      <w:ind w:left="720"/>
      <w:contextualSpacing/>
    </w:pPr>
  </w:style>
  <w:style w:type="character" w:styleId="nfasisintenso">
    <w:name w:val="Intense Emphasis"/>
    <w:basedOn w:val="Fuentedeprrafopredeter"/>
    <w:uiPriority w:val="21"/>
    <w:qFormat/>
    <w:rsid w:val="00050298"/>
    <w:rPr>
      <w:i/>
      <w:iCs/>
      <w:color w:val="0F4761" w:themeColor="accent1" w:themeShade="BF"/>
    </w:rPr>
  </w:style>
  <w:style w:type="paragraph" w:styleId="Citadestacada">
    <w:name w:val="Intense Quote"/>
    <w:basedOn w:val="Normal"/>
    <w:next w:val="Normal"/>
    <w:link w:val="CitadestacadaCar"/>
    <w:uiPriority w:val="30"/>
    <w:qFormat/>
    <w:rsid w:val="00050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0298"/>
    <w:rPr>
      <w:i/>
      <w:iCs/>
      <w:color w:val="0F4761" w:themeColor="accent1" w:themeShade="BF"/>
    </w:rPr>
  </w:style>
  <w:style w:type="character" w:styleId="Referenciaintensa">
    <w:name w:val="Intense Reference"/>
    <w:basedOn w:val="Fuentedeprrafopredeter"/>
    <w:uiPriority w:val="32"/>
    <w:qFormat/>
    <w:rsid w:val="00050298"/>
    <w:rPr>
      <w:b/>
      <w:bCs/>
      <w:smallCaps/>
      <w:color w:val="0F4761" w:themeColor="accent1" w:themeShade="BF"/>
      <w:spacing w:val="5"/>
    </w:rPr>
  </w:style>
  <w:style w:type="character" w:styleId="Hipervnculo">
    <w:name w:val="Hyperlink"/>
    <w:basedOn w:val="Fuentedeprrafopredeter"/>
    <w:uiPriority w:val="99"/>
    <w:unhideWhenUsed/>
    <w:rsid w:val="00316CC2"/>
    <w:rPr>
      <w:color w:val="467886" w:themeColor="hyperlink"/>
      <w:u w:val="single"/>
    </w:rPr>
  </w:style>
  <w:style w:type="character" w:styleId="Mencinsinresolver">
    <w:name w:val="Unresolved Mention"/>
    <w:basedOn w:val="Fuentedeprrafopredeter"/>
    <w:uiPriority w:val="99"/>
    <w:semiHidden/>
    <w:unhideWhenUsed/>
    <w:rsid w:val="00316CC2"/>
    <w:rPr>
      <w:color w:val="605E5C"/>
      <w:shd w:val="clear" w:color="auto" w:fill="E1DFDD"/>
    </w:rPr>
  </w:style>
  <w:style w:type="character" w:styleId="Hipervnculovisitado">
    <w:name w:val="FollowedHyperlink"/>
    <w:basedOn w:val="Fuentedeprrafopredeter"/>
    <w:uiPriority w:val="99"/>
    <w:semiHidden/>
    <w:unhideWhenUsed/>
    <w:rsid w:val="00611066"/>
    <w:rPr>
      <w:color w:val="96607D" w:themeColor="followedHyperlink"/>
      <w:u w:val="single"/>
    </w:rPr>
  </w:style>
  <w:style w:type="paragraph" w:styleId="Encabezado">
    <w:name w:val="header"/>
    <w:basedOn w:val="Normal"/>
    <w:link w:val="EncabezadoCar"/>
    <w:uiPriority w:val="99"/>
    <w:unhideWhenUsed/>
    <w:rsid w:val="005F0A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AF0"/>
  </w:style>
  <w:style w:type="paragraph" w:styleId="Piedepgina">
    <w:name w:val="footer"/>
    <w:basedOn w:val="Normal"/>
    <w:link w:val="PiedepginaCar"/>
    <w:uiPriority w:val="99"/>
    <w:unhideWhenUsed/>
    <w:rsid w:val="005F0A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AF0"/>
  </w:style>
  <w:style w:type="character" w:styleId="Refdecomentario">
    <w:name w:val="annotation reference"/>
    <w:basedOn w:val="Fuentedeprrafopredeter"/>
    <w:uiPriority w:val="99"/>
    <w:semiHidden/>
    <w:unhideWhenUsed/>
    <w:rsid w:val="000271B9"/>
    <w:rPr>
      <w:sz w:val="16"/>
      <w:szCs w:val="16"/>
    </w:rPr>
  </w:style>
  <w:style w:type="paragraph" w:styleId="Textocomentario">
    <w:name w:val="annotation text"/>
    <w:basedOn w:val="Normal"/>
    <w:link w:val="TextocomentarioCar"/>
    <w:uiPriority w:val="99"/>
    <w:unhideWhenUsed/>
    <w:rsid w:val="000271B9"/>
    <w:pPr>
      <w:spacing w:line="240" w:lineRule="auto"/>
    </w:pPr>
    <w:rPr>
      <w:sz w:val="20"/>
      <w:szCs w:val="20"/>
    </w:rPr>
  </w:style>
  <w:style w:type="character" w:customStyle="1" w:styleId="TextocomentarioCar">
    <w:name w:val="Texto comentario Car"/>
    <w:basedOn w:val="Fuentedeprrafopredeter"/>
    <w:link w:val="Textocomentario"/>
    <w:uiPriority w:val="99"/>
    <w:rsid w:val="000271B9"/>
    <w:rPr>
      <w:sz w:val="20"/>
      <w:szCs w:val="20"/>
    </w:rPr>
  </w:style>
  <w:style w:type="paragraph" w:styleId="Asuntodelcomentario">
    <w:name w:val="annotation subject"/>
    <w:basedOn w:val="Textocomentario"/>
    <w:next w:val="Textocomentario"/>
    <w:link w:val="AsuntodelcomentarioCar"/>
    <w:uiPriority w:val="99"/>
    <w:semiHidden/>
    <w:unhideWhenUsed/>
    <w:rsid w:val="000271B9"/>
    <w:rPr>
      <w:b/>
      <w:bCs/>
    </w:rPr>
  </w:style>
  <w:style w:type="character" w:customStyle="1" w:styleId="AsuntodelcomentarioCar">
    <w:name w:val="Asunto del comentario Car"/>
    <w:basedOn w:val="TextocomentarioCar"/>
    <w:link w:val="Asuntodelcomentario"/>
    <w:uiPriority w:val="99"/>
    <w:semiHidden/>
    <w:rsid w:val="000271B9"/>
    <w:rPr>
      <w:b/>
      <w:bCs/>
      <w:sz w:val="20"/>
      <w:szCs w:val="20"/>
    </w:rPr>
  </w:style>
  <w:style w:type="paragraph" w:styleId="Revisin">
    <w:name w:val="Revision"/>
    <w:hidden/>
    <w:uiPriority w:val="99"/>
    <w:semiHidden/>
    <w:rsid w:val="00C42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scjn.gob.mx/ConsultasTematica/Detalle/201880" TargetMode="External"/><Relationship Id="rId18" Type="http://schemas.openxmlformats.org/officeDocument/2006/relationships/hyperlink" Target="https://www2.scjn.gob.mx/ConsultaTematica/PaginasPub/DetallePub.aspx?AsuntoID=268010" TargetMode="External"/><Relationship Id="rId26" Type="http://schemas.openxmlformats.org/officeDocument/2006/relationships/hyperlink" Target="https://mision.sre.gob.mx/onu/index.php/sdp/boletines-de-prensa/2396-9-de-octubre-2024-mexico-es-electo-al-consejo-de-derechos-humanos-periodo-2025-2027" TargetMode="External"/><Relationship Id="rId39" Type="http://schemas.openxmlformats.org/officeDocument/2006/relationships/hyperlink" Target="https://www.ohchr.org/en/documents/thematic-reports/ahrc5728-solutions-promote-digital-education-young-people-and-ensure" TargetMode="External"/><Relationship Id="rId21" Type="http://schemas.openxmlformats.org/officeDocument/2006/relationships/hyperlink" Target="https://view.officeapps.live.com/op/view.aspx?src=https%3A%2F%2Fwww2.scjn.gob.mx%2Fjuridica%2Fengroses%2F1%2F2019%2F10%2F2_266181_5246.docx&amp;wdOrigin=BROWSELINK" TargetMode="External"/><Relationship Id="rId34" Type="http://schemas.openxmlformats.org/officeDocument/2006/relationships/hyperlink" Target="https://www.ohchr.org/es/documents/thematic-reports/ahrc5743-right-development-children-and-future-generations-report" TargetMode="External"/><Relationship Id="rId42" Type="http://schemas.openxmlformats.org/officeDocument/2006/relationships/hyperlink" Target="https://www.corteidh.or.cr/docs/casos/articulos/seriec_519_esp.pdf" TargetMode="External"/><Relationship Id="rId47" Type="http://schemas.openxmlformats.org/officeDocument/2006/relationships/hyperlink" Target="https://www.youtube.com/watch?v=FsZZVZpAQOI" TargetMode="Externa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2.scjn.gob.mx/ConsultaTematica/PaginasPub/DetallePub.aspx?AsuntoID=266181" TargetMode="External"/><Relationship Id="rId29" Type="http://schemas.openxmlformats.org/officeDocument/2006/relationships/hyperlink" Target="https://x.com/jufed_org/status/1841164500331823590" TargetMode="External"/><Relationship Id="rId11" Type="http://schemas.openxmlformats.org/officeDocument/2006/relationships/hyperlink" Target="https://www.un.org/es/observances/girl-child-day" TargetMode="External"/><Relationship Id="rId24" Type="http://schemas.openxmlformats.org/officeDocument/2006/relationships/hyperlink" Target="https://dispensariodi.com/wp-content/uploads/2022/09/Justicia-inadaptada.pdf" TargetMode="External"/><Relationship Id="rId32" Type="http://schemas.openxmlformats.org/officeDocument/2006/relationships/hyperlink" Target="https://www2.scjn.gob.mx/ConsultasTematica/Detalle/238286" TargetMode="External"/><Relationship Id="rId37" Type="http://schemas.openxmlformats.org/officeDocument/2006/relationships/hyperlink" Target="https://documents.un.org/doc/undoc/gen/g24/115/25/pdf/g2411525.pdf" TargetMode="External"/><Relationship Id="rId40" Type="http://schemas.openxmlformats.org/officeDocument/2006/relationships/hyperlink" Target="https://documents.un.org/doc/undoc/gen/n24/213/59/pdf/n2421359.pdf" TargetMode="External"/><Relationship Id="rId45" Type="http://schemas.openxmlformats.org/officeDocument/2006/relationships/hyperlink" Target="https://www.corteidh.or.cr/docs/casos/articulos/seriec_534_esp.pdf" TargetMode="External"/><Relationship Id="rId5" Type="http://schemas.openxmlformats.org/officeDocument/2006/relationships/footnotes" Target="footnotes.xml"/><Relationship Id="rId15" Type="http://schemas.openxmlformats.org/officeDocument/2006/relationships/hyperlink" Target="https://www.scjn.gob.mx/sites/default/files/listas/documento_dos/2021-01/ADR-5833-2019-270121.pdf" TargetMode="External"/><Relationship Id="rId23" Type="http://schemas.openxmlformats.org/officeDocument/2006/relationships/hyperlink" Target="https://dispensariodi.com/wp-content/uploads/2022/09/Justicia-inadaptada.pdf" TargetMode="External"/><Relationship Id="rId28" Type="http://schemas.openxmlformats.org/officeDocument/2006/relationships/hyperlink" Target="https://www.ohchr.org/es/press-releases/2024/09/mexico-un-experts-concerned-over-upcoming-constitutional-reform-proposal" TargetMode="External"/><Relationship Id="rId36" Type="http://schemas.openxmlformats.org/officeDocument/2006/relationships/hyperlink" Target="https://documents.un.org/doc/undoc/gen/n24/213/26/pdf/n2421326.pdf" TargetMode="External"/><Relationship Id="rId49" Type="http://schemas.openxmlformats.org/officeDocument/2006/relationships/fontTable" Target="fontTable.xml"/><Relationship Id="rId10" Type="http://schemas.openxmlformats.org/officeDocument/2006/relationships/hyperlink" Target="https://www.ohchr.org/en/documents/general-comments-and-recommendations/draft-general-comment-no-27-childrens-rights-access" TargetMode="External"/><Relationship Id="rId19" Type="http://schemas.openxmlformats.org/officeDocument/2006/relationships/hyperlink" Target="https://www2.scjn.gob.mx/ConsultasTematica/Detalle/294770" TargetMode="External"/><Relationship Id="rId31" Type="http://schemas.openxmlformats.org/officeDocument/2006/relationships/hyperlink" Target="https://www.ohchr.org/en/documents/tools-and-resources/ahrcwg11411-conscientious-objection-abortion-key-considerations" TargetMode="External"/><Relationship Id="rId44" Type="http://schemas.openxmlformats.org/officeDocument/2006/relationships/hyperlink" Target="https://corteidh.or.cr/docs/casos/articulos/seriec_523_esp.pdf" TargetMode="External"/><Relationship Id="rId4" Type="http://schemas.openxmlformats.org/officeDocument/2006/relationships/webSettings" Target="webSettings.xml"/><Relationship Id="rId9" Type="http://schemas.openxmlformats.org/officeDocument/2006/relationships/hyperlink" Target="https://webtv.un.org/en/asset/k1w/k1w2r1hnea" TargetMode="External"/><Relationship Id="rId14" Type="http://schemas.openxmlformats.org/officeDocument/2006/relationships/hyperlink" Target="https://www2.scjn.gob.mx/ConsultaTematica/PaginasPub/DetallePub.aspx?AsuntoID=169559" TargetMode="External"/><Relationship Id="rId22" Type="http://schemas.openxmlformats.org/officeDocument/2006/relationships/hyperlink" Target="https://www.inegi.org.mx/contenidos/saladeprensa/boletines/2023/ENASJUP/ENASJUP2022.pdf" TargetMode="External"/><Relationship Id="rId27" Type="http://schemas.openxmlformats.org/officeDocument/2006/relationships/hyperlink" Target="https://tbinternet.ohchr.org/_layouts/15/treatybodyexternal/Download.aspx?symbolno=CEDAW%2FC%2FMEX%2F10&amp;Lang=es" TargetMode="External"/><Relationship Id="rId30" Type="http://schemas.openxmlformats.org/officeDocument/2006/relationships/hyperlink" Target="https://x.com/CIDH/status/1843296189175021712t=F7s2tH4ngPO_n8cZerB09Q&amp;s=08" TargetMode="External"/><Relationship Id="rId35" Type="http://schemas.openxmlformats.org/officeDocument/2006/relationships/hyperlink" Target="https://documents.un.org/doc/undoc/gen/n24/213/35/pdf/n2421335.pdf" TargetMode="External"/><Relationship Id="rId43" Type="http://schemas.openxmlformats.org/officeDocument/2006/relationships/hyperlink" Target="https://corteidh.or.cr/docs/casos/articulos/seriec_518_esp.pdf" TargetMode="External"/><Relationship Id="rId48" Type="http://schemas.openxmlformats.org/officeDocument/2006/relationships/hyperlink" Target="https://www.scjn.gob.mx/gw/" TargetMode="External"/><Relationship Id="rId8" Type="http://schemas.openxmlformats.org/officeDocument/2006/relationships/hyperlink" Target="https://tbinternet.ohchr.org/_layouts/15/treatybodyexternal/Download.aspx?symbolno=CRC%2FC%2FMEX%2FCO%2F6-7&amp;Lang=es" TargetMode="External"/><Relationship Id="rId3" Type="http://schemas.openxmlformats.org/officeDocument/2006/relationships/settings" Target="settings.xml"/><Relationship Id="rId12" Type="http://schemas.openxmlformats.org/officeDocument/2006/relationships/hyperlink" Target="https://www2.scjn.gob.mx/ConsultasTematica/Resultados/-0-0-2-644-2016" TargetMode="External"/><Relationship Id="rId17" Type="http://schemas.openxmlformats.org/officeDocument/2006/relationships/hyperlink" Target="https://www.scjn.gob.mx/sites/default/files/listas/documento_dos/2022-03/ADR-3994-2021-30032022.pdf" TargetMode="External"/><Relationship Id="rId25" Type="http://schemas.openxmlformats.org/officeDocument/2006/relationships/hyperlink" Target="https://dispensariodi.com/wp-content/uploads/2022/09/Justicia-inadaptada.pdf" TargetMode="External"/><Relationship Id="rId33" Type="http://schemas.openxmlformats.org/officeDocument/2006/relationships/hyperlink" Target="https://www.unicef.org/mexico/comunicados-prensa/un-buen-sexenio-para-la-ni%C3%B1ez-m%C3%A9xico-cuenta-con-unicef-para-erradicar-la-pobreza" TargetMode="External"/><Relationship Id="rId38" Type="http://schemas.openxmlformats.org/officeDocument/2006/relationships/hyperlink" Target="https://documents.un.org/doc/undoc/gen/n24/217/32/pdf/n2421732.pdf" TargetMode="External"/><Relationship Id="rId46" Type="http://schemas.openxmlformats.org/officeDocument/2006/relationships/hyperlink" Target="https://www.klimaseniorinnen.ch/wp-content/uploads/2024/04/CASE-OF-VEREIN-KLIMASENIORINNEN-SCHWEIZ-AND-OTHERS-v.-SWITZERLAND.pdf" TargetMode="External"/><Relationship Id="rId20" Type="http://schemas.openxmlformats.org/officeDocument/2006/relationships/hyperlink" Target="https://www2.scjn.gob.mx/ConsultasTematica/Detalle/219784" TargetMode="External"/><Relationship Id="rId41" Type="http://schemas.openxmlformats.org/officeDocument/2006/relationships/hyperlink" Target="https://tbinternet.ohchr.org/_layouts/15/treatybodyexternal/Download.aspx?symbolno=CED%2FC%2F11&amp;Lang=en"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4308</Words>
  <Characters>23696</Characters>
  <Application>Microsoft Office Word</Application>
  <DocSecurity>0</DocSecurity>
  <Lines>197</Lines>
  <Paragraphs>55</Paragraphs>
  <ScaleCrop>false</ScaleCrop>
  <Company/>
  <LinksUpToDate>false</LinksUpToDate>
  <CharactersWithSpaces>27949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GUADALUPE BETANZOS ESPINOZA</dc:creator>
  <cp:keywords/>
  <dc:description/>
  <cp:lastModifiedBy>ERIKA PAOLA CRUZ HERNANDEZ</cp:lastModifiedBy>
  <cp:revision>114</cp:revision>
  <dcterms:created xsi:type="dcterms:W3CDTF">2024-12-07T00:16:00Z</dcterms:created>
  <dcterms:modified xsi:type="dcterms:W3CDTF">2024-12-12T19:28:00Z</dcterms:modified>
</cp:coreProperties>
</file>