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2D07F" w14:textId="77777777" w:rsidR="00875D0D" w:rsidRPr="005B585E" w:rsidRDefault="00875D0D" w:rsidP="005B585E">
      <w:pPr>
        <w:pStyle w:val="Prrafodelista"/>
      </w:pPr>
    </w:p>
    <w:p w14:paraId="7BB555CD" w14:textId="77777777"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14:paraId="76A9861E" w14:textId="77777777" w:rsidR="00875D0D" w:rsidRPr="00875D0D" w:rsidRDefault="00875D0D" w:rsidP="00875D0D">
      <w:pPr>
        <w:ind w:left="360"/>
        <w:jc w:val="both"/>
        <w:rPr>
          <w:rFonts w:ascii="Arial" w:hAnsi="Arial" w:cs="Arial"/>
          <w:b/>
          <w:sz w:val="22"/>
          <w:szCs w:val="26"/>
          <w:lang w:val="es-MX"/>
        </w:rPr>
      </w:pPr>
    </w:p>
    <w:p w14:paraId="608B156C"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14:paraId="52C1B90F" w14:textId="77777777" w:rsidR="00875D0D" w:rsidRPr="004E1E63" w:rsidRDefault="00875D0D" w:rsidP="00875D0D">
      <w:pPr>
        <w:ind w:left="360"/>
        <w:jc w:val="both"/>
        <w:rPr>
          <w:rFonts w:ascii="Georgia" w:hAnsi="Georgia" w:cs="Arial"/>
          <w:b/>
          <w:sz w:val="22"/>
          <w:szCs w:val="26"/>
          <w:lang w:val="es-MX"/>
        </w:rPr>
      </w:pPr>
    </w:p>
    <w:p w14:paraId="6CE552B5" w14:textId="77777777" w:rsidR="00875D0D" w:rsidRPr="004E1E63" w:rsidRDefault="00875D0D" w:rsidP="00875D0D">
      <w:pPr>
        <w:ind w:left="360"/>
        <w:jc w:val="both"/>
        <w:rPr>
          <w:rFonts w:ascii="Georgia" w:hAnsi="Georgia" w:cs="Arial"/>
          <w:b/>
          <w:sz w:val="22"/>
          <w:szCs w:val="26"/>
          <w:lang w:val="es-MX"/>
        </w:rPr>
      </w:pPr>
    </w:p>
    <w:p w14:paraId="34A2D6ED" w14:textId="77777777" w:rsidR="00875D0D" w:rsidRDefault="00875D0D" w:rsidP="00551928">
      <w:pPr>
        <w:tabs>
          <w:tab w:val="left" w:pos="6732"/>
        </w:tabs>
        <w:ind w:left="709"/>
        <w:jc w:val="both"/>
        <w:rPr>
          <w:rFonts w:ascii="Georgia" w:hAnsi="Georgia" w:cs="Arial"/>
          <w:b/>
          <w:sz w:val="22"/>
          <w:szCs w:val="26"/>
          <w:lang w:val="es-MX"/>
        </w:rPr>
      </w:pPr>
      <w:r w:rsidRPr="004E1E63">
        <w:rPr>
          <w:rFonts w:ascii="Georgia" w:hAnsi="Georgia" w:cs="Arial"/>
          <w:b/>
          <w:sz w:val="22"/>
          <w:szCs w:val="26"/>
          <w:lang w:val="es-MX"/>
        </w:rPr>
        <w:t>Resultados:</w:t>
      </w:r>
      <w:r w:rsidR="00551928">
        <w:rPr>
          <w:rFonts w:ascii="Georgia" w:hAnsi="Georgia" w:cs="Arial"/>
          <w:b/>
          <w:sz w:val="22"/>
          <w:szCs w:val="26"/>
          <w:lang w:val="es-MX"/>
        </w:rPr>
        <w:tab/>
      </w:r>
    </w:p>
    <w:p w14:paraId="661C0E99" w14:textId="77777777" w:rsidR="00113DC9" w:rsidRPr="00113DC9" w:rsidRDefault="00113DC9" w:rsidP="00113DC9">
      <w:pPr>
        <w:ind w:left="709"/>
        <w:jc w:val="both"/>
        <w:rPr>
          <w:rFonts w:ascii="Georgia" w:hAnsi="Georgia" w:cs="Arial"/>
          <w:b/>
          <w:sz w:val="22"/>
          <w:szCs w:val="26"/>
          <w:lang w:val="es-MX"/>
        </w:rPr>
      </w:pPr>
    </w:p>
    <w:p w14:paraId="5D68EEE1" w14:textId="77777777"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4101B4">
        <w:rPr>
          <w:rFonts w:ascii="Georgia" w:hAnsi="Georgia" w:cs="Arial"/>
          <w:sz w:val="22"/>
          <w:szCs w:val="26"/>
          <w:lang w:val="es-MX"/>
        </w:rPr>
        <w:t xml:space="preserve">: </w:t>
      </w:r>
      <w:r w:rsidR="00DC3A52" w:rsidRPr="004101B4">
        <w:rPr>
          <w:rFonts w:ascii="Georgia" w:hAnsi="Georgia" w:cs="Arial"/>
          <w:b/>
          <w:sz w:val="22"/>
          <w:szCs w:val="26"/>
          <w:lang w:val="es-MX"/>
        </w:rPr>
        <w:t>9</w:t>
      </w:r>
      <w:r w:rsidR="003274DC">
        <w:rPr>
          <w:rFonts w:ascii="Georgia" w:hAnsi="Georgia" w:cs="Arial"/>
          <w:b/>
          <w:sz w:val="22"/>
          <w:szCs w:val="26"/>
          <w:lang w:val="es-MX"/>
        </w:rPr>
        <w:t>4</w:t>
      </w:r>
      <w:r w:rsidR="00C13809" w:rsidRPr="004101B4">
        <w:rPr>
          <w:rFonts w:ascii="Georgia" w:hAnsi="Georgia" w:cs="Arial"/>
          <w:b/>
          <w:sz w:val="22"/>
          <w:szCs w:val="26"/>
          <w:lang w:val="es-MX"/>
        </w:rPr>
        <w:t>.</w:t>
      </w:r>
      <w:r w:rsidR="00977123">
        <w:rPr>
          <w:rFonts w:ascii="Georgia" w:hAnsi="Georgia" w:cs="Arial"/>
          <w:b/>
          <w:sz w:val="22"/>
          <w:szCs w:val="26"/>
          <w:lang w:val="es-MX"/>
        </w:rPr>
        <w:t>7</w:t>
      </w:r>
      <w:r w:rsidR="003274DC">
        <w:rPr>
          <w:rFonts w:ascii="Georgia" w:hAnsi="Georgia" w:cs="Arial"/>
          <w:b/>
          <w:sz w:val="22"/>
          <w:szCs w:val="26"/>
          <w:lang w:val="es-MX"/>
        </w:rPr>
        <w:t>2</w:t>
      </w:r>
      <w:r w:rsidRPr="004101B4">
        <w:rPr>
          <w:rFonts w:ascii="Georgia" w:hAnsi="Georgia" w:cs="Arial"/>
          <w:b/>
          <w:sz w:val="22"/>
          <w:szCs w:val="26"/>
          <w:lang w:val="es-MX"/>
        </w:rPr>
        <w:t>%</w:t>
      </w:r>
    </w:p>
    <w:p w14:paraId="1DA10BC7" w14:textId="77777777" w:rsidR="00696BBF" w:rsidRPr="00972F9F" w:rsidRDefault="00696BBF" w:rsidP="00696BBF">
      <w:pPr>
        <w:ind w:left="709"/>
        <w:jc w:val="both"/>
        <w:rPr>
          <w:rFonts w:ascii="Georgia" w:hAnsi="Georgia" w:cs="Arial"/>
          <w:sz w:val="22"/>
          <w:szCs w:val="26"/>
          <w:lang w:val="es-MX"/>
        </w:rPr>
      </w:pPr>
    </w:p>
    <w:p w14:paraId="464D8332" w14:textId="77777777"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4101B4">
        <w:rPr>
          <w:rFonts w:ascii="Georgia" w:hAnsi="Georgia" w:cs="Arial"/>
          <w:sz w:val="22"/>
          <w:szCs w:val="26"/>
          <w:lang w:val="es-MX"/>
        </w:rPr>
        <w:t xml:space="preserve">: </w:t>
      </w:r>
      <w:r w:rsidR="003274DC">
        <w:rPr>
          <w:rFonts w:ascii="Georgia" w:hAnsi="Georgia" w:cs="Arial"/>
          <w:b/>
          <w:sz w:val="22"/>
          <w:szCs w:val="26"/>
          <w:lang w:val="es-MX"/>
        </w:rPr>
        <w:t>5</w:t>
      </w:r>
      <w:r w:rsidR="006F4AC9" w:rsidRPr="004101B4">
        <w:rPr>
          <w:rFonts w:ascii="Georgia" w:hAnsi="Georgia" w:cs="Arial"/>
          <w:b/>
          <w:sz w:val="22"/>
          <w:szCs w:val="26"/>
          <w:lang w:val="es-MX"/>
        </w:rPr>
        <w:t>.</w:t>
      </w:r>
      <w:r w:rsidR="003274DC">
        <w:rPr>
          <w:rFonts w:ascii="Georgia" w:hAnsi="Georgia" w:cs="Arial"/>
          <w:b/>
          <w:sz w:val="22"/>
          <w:szCs w:val="26"/>
          <w:lang w:val="es-MX"/>
        </w:rPr>
        <w:t>28</w:t>
      </w:r>
      <w:r w:rsidRPr="004101B4">
        <w:rPr>
          <w:rFonts w:ascii="Georgia" w:hAnsi="Georgia" w:cs="Arial"/>
          <w:b/>
          <w:sz w:val="22"/>
          <w:szCs w:val="26"/>
          <w:lang w:val="es-MX"/>
        </w:rPr>
        <w:t>%</w:t>
      </w:r>
    </w:p>
    <w:p w14:paraId="26AEEDF5" w14:textId="77777777" w:rsidR="00875D0D" w:rsidRPr="004E1E63" w:rsidRDefault="00875D0D" w:rsidP="00875D0D">
      <w:pPr>
        <w:ind w:left="709"/>
        <w:jc w:val="both"/>
        <w:rPr>
          <w:rFonts w:ascii="Georgia" w:hAnsi="Georgia" w:cs="Arial"/>
          <w:b/>
          <w:sz w:val="22"/>
          <w:szCs w:val="26"/>
          <w:lang w:val="es-MX"/>
        </w:rPr>
      </w:pPr>
    </w:p>
    <w:p w14:paraId="1FEB8CD9" w14:textId="77777777" w:rsidR="00875D0D" w:rsidRPr="00875D0D" w:rsidRDefault="00875D0D" w:rsidP="00875D0D">
      <w:pPr>
        <w:ind w:left="709"/>
        <w:jc w:val="both"/>
        <w:rPr>
          <w:rFonts w:ascii="Arial" w:hAnsi="Arial" w:cs="Arial"/>
          <w:b/>
          <w:sz w:val="22"/>
          <w:szCs w:val="26"/>
          <w:lang w:val="es-MX"/>
        </w:rPr>
      </w:pPr>
    </w:p>
    <w:p w14:paraId="2A872731" w14:textId="77777777"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14:paraId="1DF74BC9" w14:textId="77777777" w:rsidR="006550E2" w:rsidRDefault="006550E2" w:rsidP="00DB3398">
      <w:pPr>
        <w:tabs>
          <w:tab w:val="left" w:pos="7956"/>
        </w:tabs>
        <w:ind w:left="709"/>
        <w:jc w:val="both"/>
        <w:rPr>
          <w:rFonts w:ascii="Georgia" w:hAnsi="Georgia" w:cs="Arial"/>
          <w:b/>
          <w:sz w:val="22"/>
          <w:szCs w:val="26"/>
          <w:lang w:val="es-MX"/>
        </w:rPr>
      </w:pPr>
    </w:p>
    <w:p w14:paraId="33230E59" w14:textId="77777777"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14:paraId="62EA4C3D" w14:textId="77777777" w:rsidR="00891F2E" w:rsidRDefault="00891F2E" w:rsidP="00875D0D">
      <w:pPr>
        <w:ind w:left="709"/>
        <w:jc w:val="both"/>
        <w:rPr>
          <w:rFonts w:ascii="Georgia" w:hAnsi="Georgia" w:cs="Arial"/>
          <w:b/>
          <w:sz w:val="22"/>
          <w:szCs w:val="26"/>
          <w:lang w:val="es-MX"/>
        </w:rPr>
      </w:pPr>
    </w:p>
    <w:p w14:paraId="517BAD2E" w14:textId="77777777" w:rsidR="00FE23D2" w:rsidRDefault="003274DC" w:rsidP="00875D0D">
      <w:pPr>
        <w:ind w:left="709"/>
        <w:jc w:val="both"/>
        <w:rPr>
          <w:noProof/>
          <w:lang w:val="es-MX" w:eastAsia="es-MX"/>
        </w:rPr>
      </w:pPr>
      <w:r>
        <w:rPr>
          <w:noProof/>
        </w:rPr>
        <w:drawing>
          <wp:inline distT="0" distB="0" distL="0" distR="0" wp14:anchorId="457506AC" wp14:editId="358DCD0D">
            <wp:extent cx="4879507" cy="2754630"/>
            <wp:effectExtent l="0" t="0" r="0" b="0"/>
            <wp:docPr id="10" name="Gráfico 10">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AFA291" w14:textId="77777777" w:rsidR="00891F2E" w:rsidRPr="00830A4C" w:rsidRDefault="00891F2E" w:rsidP="00875D0D">
      <w:pPr>
        <w:ind w:left="709"/>
        <w:jc w:val="both"/>
        <w:rPr>
          <w:rFonts w:ascii="Georgia" w:hAnsi="Georgia" w:cs="Arial"/>
          <w:b/>
          <w:sz w:val="22"/>
          <w:szCs w:val="26"/>
          <w:lang w:val="es-MX"/>
        </w:rPr>
      </w:pPr>
    </w:p>
    <w:p w14:paraId="3CFC5AE2" w14:textId="77777777"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14:paraId="38377182" w14:textId="77777777" w:rsidR="00875D0D" w:rsidRPr="00830A4C" w:rsidRDefault="00875D0D" w:rsidP="00875D0D">
      <w:pPr>
        <w:numPr>
          <w:ilvl w:val="0"/>
          <w:numId w:val="2"/>
        </w:numPr>
        <w:jc w:val="both"/>
        <w:rPr>
          <w:rFonts w:ascii="Georgia" w:hAnsi="Georgia" w:cs="Arial"/>
          <w:b/>
          <w:sz w:val="22"/>
          <w:szCs w:val="26"/>
          <w:lang w:val="es-MX"/>
        </w:rPr>
      </w:pPr>
      <w:r w:rsidRPr="00965E3C">
        <w:rPr>
          <w:rFonts w:ascii="Georgia" w:hAnsi="Georgia" w:cs="Arial"/>
          <w:b/>
          <w:sz w:val="22"/>
          <w:szCs w:val="26"/>
          <w:lang w:val="es-MX"/>
        </w:rPr>
        <w:lastRenderedPageBreak/>
        <w:t>Trá</w:t>
      </w:r>
      <w:r w:rsidRPr="00B5704B">
        <w:rPr>
          <w:rFonts w:ascii="Georgia" w:hAnsi="Georgia" w:cs="Arial"/>
          <w:b/>
          <w:sz w:val="22"/>
          <w:szCs w:val="26"/>
          <w:lang w:val="es-MX"/>
        </w:rPr>
        <w:t>mite</w:t>
      </w:r>
      <w:r w:rsidRPr="00967D5E">
        <w:rPr>
          <w:rFonts w:ascii="Georgia" w:hAnsi="Georgia" w:cs="Arial"/>
          <w:b/>
          <w:sz w:val="22"/>
          <w:szCs w:val="26"/>
          <w:lang w:val="es-MX"/>
        </w:rPr>
        <w:t xml:space="preserv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14:paraId="420A6729" w14:textId="77777777" w:rsidR="00875D0D" w:rsidRPr="00875D0D" w:rsidRDefault="00875D0D" w:rsidP="00875D0D">
      <w:pPr>
        <w:ind w:left="360"/>
        <w:jc w:val="both"/>
        <w:rPr>
          <w:rFonts w:ascii="Arial" w:hAnsi="Arial" w:cs="Arial"/>
          <w:b/>
          <w:sz w:val="22"/>
          <w:szCs w:val="26"/>
          <w:lang w:val="es-MX"/>
        </w:rPr>
      </w:pPr>
    </w:p>
    <w:p w14:paraId="24246F0E"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14:paraId="24C539CA" w14:textId="77777777"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14:paraId="3D46BBB9" w14:textId="77777777" w:rsidR="00DB3398" w:rsidRPr="004E1E63" w:rsidRDefault="00DB3398" w:rsidP="00875D0D">
      <w:pPr>
        <w:ind w:left="709"/>
        <w:jc w:val="both"/>
        <w:rPr>
          <w:rFonts w:ascii="Georgia" w:hAnsi="Georgia" w:cs="Arial"/>
          <w:sz w:val="22"/>
          <w:szCs w:val="26"/>
          <w:lang w:val="es-MX"/>
        </w:rPr>
      </w:pPr>
    </w:p>
    <w:p w14:paraId="5D9C6AAB" w14:textId="77777777"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p w14:paraId="54B50061" w14:textId="77777777" w:rsidR="00DB3398" w:rsidRDefault="00DB3398" w:rsidP="00E975AD">
      <w:pPr>
        <w:ind w:left="709"/>
        <w:jc w:val="both"/>
      </w:pPr>
    </w:p>
    <w:p w14:paraId="3EDC7669" w14:textId="77777777" w:rsidR="00DB3398" w:rsidRDefault="00DB3398" w:rsidP="00DB3398">
      <w:pPr>
        <w:jc w:val="both"/>
      </w:pPr>
    </w:p>
    <w:p w14:paraId="2AB76693" w14:textId="77777777"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14:paraId="4ACDCC6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58E6D35E" w14:textId="77777777"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2A479F4E"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8B74B3B"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14:paraId="62EEA818"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54269D0C"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6863C034"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55D18BD7" w14:textId="77777777" w:rsidR="00875D0D" w:rsidRPr="00875D0D" w:rsidRDefault="00875D0D" w:rsidP="006C75B7">
            <w:pPr>
              <w:rPr>
                <w:rFonts w:ascii="Arial" w:hAnsi="Arial" w:cs="Arial"/>
                <w:b/>
                <w:bCs/>
                <w:color w:val="FFFFFF"/>
                <w:sz w:val="20"/>
              </w:rPr>
            </w:pPr>
          </w:p>
        </w:tc>
      </w:tr>
      <w:tr w:rsidR="0038473D" w:rsidRPr="00DB3398" w14:paraId="28D3B708"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78B39D9F"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1DB2D519"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2,240</w:t>
            </w:r>
          </w:p>
        </w:tc>
        <w:tc>
          <w:tcPr>
            <w:tcW w:w="1409" w:type="dxa"/>
            <w:tcBorders>
              <w:top w:val="nil"/>
              <w:left w:val="nil"/>
              <w:bottom w:val="single" w:sz="8" w:space="0" w:color="auto"/>
              <w:right w:val="single" w:sz="8" w:space="0" w:color="auto"/>
            </w:tcBorders>
            <w:shd w:val="clear" w:color="auto" w:fill="auto"/>
            <w:noWrap/>
          </w:tcPr>
          <w:p w14:paraId="70A5EF21"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54.79%</w:t>
            </w:r>
          </w:p>
        </w:tc>
      </w:tr>
      <w:tr w:rsidR="0038473D" w:rsidRPr="00DB3398" w14:paraId="2208A25F"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217310"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Querétaro, </w:t>
            </w:r>
            <w:proofErr w:type="spellStart"/>
            <w:r w:rsidRPr="0038473D">
              <w:rPr>
                <w:rFonts w:asciiTheme="minorHAnsi" w:hAnsiTheme="minorHAnsi" w:cstheme="minorHAnsi"/>
                <w:sz w:val="20"/>
                <w:szCs w:val="20"/>
              </w:rPr>
              <w:t>Qro</w:t>
            </w:r>
            <w:proofErr w:type="spellEnd"/>
            <w:r w:rsidRPr="0038473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67481FC0"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623</w:t>
            </w:r>
          </w:p>
        </w:tc>
        <w:tc>
          <w:tcPr>
            <w:tcW w:w="1409" w:type="dxa"/>
            <w:tcBorders>
              <w:top w:val="nil"/>
              <w:left w:val="nil"/>
              <w:bottom w:val="single" w:sz="8" w:space="0" w:color="auto"/>
              <w:right w:val="single" w:sz="8" w:space="0" w:color="auto"/>
            </w:tcBorders>
            <w:shd w:val="clear" w:color="auto" w:fill="auto"/>
            <w:noWrap/>
          </w:tcPr>
          <w:p w14:paraId="54F6FB04"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15.24%</w:t>
            </w:r>
          </w:p>
        </w:tc>
      </w:tr>
      <w:tr w:rsidR="0038473D" w:rsidRPr="00DB3398" w14:paraId="602DD24C"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049C8CA"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Monterrey, N.L.</w:t>
            </w:r>
          </w:p>
        </w:tc>
        <w:tc>
          <w:tcPr>
            <w:tcW w:w="1408" w:type="dxa"/>
            <w:tcBorders>
              <w:top w:val="nil"/>
              <w:left w:val="nil"/>
              <w:bottom w:val="single" w:sz="8" w:space="0" w:color="auto"/>
              <w:right w:val="single" w:sz="8" w:space="0" w:color="auto"/>
            </w:tcBorders>
            <w:shd w:val="clear" w:color="auto" w:fill="auto"/>
            <w:noWrap/>
          </w:tcPr>
          <w:p w14:paraId="69A8C2A6"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380</w:t>
            </w:r>
          </w:p>
        </w:tc>
        <w:tc>
          <w:tcPr>
            <w:tcW w:w="1409" w:type="dxa"/>
            <w:tcBorders>
              <w:top w:val="nil"/>
              <w:left w:val="nil"/>
              <w:bottom w:val="single" w:sz="8" w:space="0" w:color="auto"/>
              <w:right w:val="single" w:sz="8" w:space="0" w:color="auto"/>
            </w:tcBorders>
            <w:shd w:val="clear" w:color="auto" w:fill="auto"/>
            <w:noWrap/>
          </w:tcPr>
          <w:p w14:paraId="0A404F45"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9.30%</w:t>
            </w:r>
          </w:p>
        </w:tc>
      </w:tr>
      <w:tr w:rsidR="0038473D" w:rsidRPr="00DB3398" w14:paraId="37D80364"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8E98B58" w14:textId="77777777" w:rsidR="0038473D" w:rsidRPr="0038473D" w:rsidRDefault="0038473D" w:rsidP="0038473D">
            <w:pPr>
              <w:rPr>
                <w:rFonts w:asciiTheme="minorHAnsi" w:hAnsiTheme="minorHAnsi" w:cstheme="minorHAnsi"/>
                <w:sz w:val="20"/>
                <w:szCs w:val="20"/>
              </w:rPr>
            </w:pPr>
            <w:proofErr w:type="spellStart"/>
            <w:r w:rsidRPr="0038473D">
              <w:rPr>
                <w:rFonts w:asciiTheme="minorHAnsi" w:hAnsiTheme="minorHAnsi" w:cstheme="minorHAnsi"/>
                <w:sz w:val="20"/>
                <w:szCs w:val="20"/>
              </w:rPr>
              <w:t>Torreón</w:t>
            </w:r>
            <w:proofErr w:type="spellEnd"/>
            <w:r w:rsidRPr="0038473D">
              <w:rPr>
                <w:rFonts w:asciiTheme="minorHAnsi" w:hAnsiTheme="minorHAnsi" w:cstheme="minorHAnsi"/>
                <w:sz w:val="20"/>
                <w:szCs w:val="20"/>
              </w:rPr>
              <w:t xml:space="preserve">, </w:t>
            </w:r>
            <w:proofErr w:type="spellStart"/>
            <w:r w:rsidRPr="0038473D">
              <w:rPr>
                <w:rFonts w:asciiTheme="minorHAnsi" w:hAnsiTheme="minorHAnsi" w:cstheme="minorHAnsi"/>
                <w:sz w:val="20"/>
                <w:szCs w:val="20"/>
              </w:rPr>
              <w:t>Coah</w:t>
            </w:r>
            <w:proofErr w:type="spellEnd"/>
            <w:r w:rsidRPr="0038473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129391BA"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240</w:t>
            </w:r>
          </w:p>
        </w:tc>
        <w:tc>
          <w:tcPr>
            <w:tcW w:w="1409" w:type="dxa"/>
            <w:tcBorders>
              <w:top w:val="nil"/>
              <w:left w:val="nil"/>
              <w:bottom w:val="single" w:sz="8" w:space="0" w:color="auto"/>
              <w:right w:val="single" w:sz="8" w:space="0" w:color="auto"/>
            </w:tcBorders>
            <w:shd w:val="clear" w:color="auto" w:fill="auto"/>
            <w:noWrap/>
          </w:tcPr>
          <w:p w14:paraId="424A4F7B"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5.87%</w:t>
            </w:r>
          </w:p>
        </w:tc>
      </w:tr>
      <w:tr w:rsidR="0038473D" w:rsidRPr="00DB3398" w14:paraId="1999A696"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506E7C5"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Oaxaca, </w:t>
            </w:r>
            <w:proofErr w:type="spellStart"/>
            <w:r w:rsidRPr="0038473D">
              <w:rPr>
                <w:rFonts w:asciiTheme="minorHAnsi" w:hAnsiTheme="minorHAnsi" w:cstheme="minorHAnsi"/>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14:paraId="24F6659B"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107</w:t>
            </w:r>
          </w:p>
        </w:tc>
        <w:tc>
          <w:tcPr>
            <w:tcW w:w="1409" w:type="dxa"/>
            <w:tcBorders>
              <w:top w:val="nil"/>
              <w:left w:val="nil"/>
              <w:bottom w:val="single" w:sz="8" w:space="0" w:color="auto"/>
              <w:right w:val="single" w:sz="8" w:space="0" w:color="auto"/>
            </w:tcBorders>
            <w:shd w:val="clear" w:color="auto" w:fill="auto"/>
            <w:noWrap/>
          </w:tcPr>
          <w:p w14:paraId="1BA4BAA9"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2.62%</w:t>
            </w:r>
          </w:p>
        </w:tc>
      </w:tr>
      <w:tr w:rsidR="0038473D" w:rsidRPr="00DB3398" w14:paraId="0395CA49"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6987D05"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1300E8F5"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80</w:t>
            </w:r>
          </w:p>
        </w:tc>
        <w:tc>
          <w:tcPr>
            <w:tcW w:w="1409" w:type="dxa"/>
            <w:tcBorders>
              <w:top w:val="nil"/>
              <w:left w:val="nil"/>
              <w:bottom w:val="single" w:sz="8" w:space="0" w:color="auto"/>
              <w:right w:val="single" w:sz="8" w:space="0" w:color="auto"/>
            </w:tcBorders>
            <w:shd w:val="clear" w:color="auto" w:fill="auto"/>
            <w:noWrap/>
          </w:tcPr>
          <w:p w14:paraId="24F5C510"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1.96%</w:t>
            </w:r>
          </w:p>
        </w:tc>
      </w:tr>
      <w:tr w:rsidR="0038473D" w:rsidRPr="00DB3398" w14:paraId="318F55AD"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47E1356"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13B8824B"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60</w:t>
            </w:r>
          </w:p>
        </w:tc>
        <w:tc>
          <w:tcPr>
            <w:tcW w:w="1409" w:type="dxa"/>
            <w:tcBorders>
              <w:top w:val="nil"/>
              <w:left w:val="nil"/>
              <w:bottom w:val="single" w:sz="8" w:space="0" w:color="auto"/>
              <w:right w:val="single" w:sz="8" w:space="0" w:color="auto"/>
            </w:tcBorders>
            <w:shd w:val="clear" w:color="auto" w:fill="auto"/>
            <w:noWrap/>
          </w:tcPr>
          <w:p w14:paraId="286B25A1"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1.47%</w:t>
            </w:r>
          </w:p>
        </w:tc>
      </w:tr>
      <w:tr w:rsidR="0038473D" w:rsidRPr="00DB3398" w14:paraId="438698A3"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2D68C90"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5BDB4B6D"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44</w:t>
            </w:r>
          </w:p>
        </w:tc>
        <w:tc>
          <w:tcPr>
            <w:tcW w:w="1409" w:type="dxa"/>
            <w:tcBorders>
              <w:top w:val="nil"/>
              <w:left w:val="nil"/>
              <w:bottom w:val="single" w:sz="8" w:space="0" w:color="auto"/>
              <w:right w:val="single" w:sz="8" w:space="0" w:color="auto"/>
            </w:tcBorders>
            <w:shd w:val="clear" w:color="auto" w:fill="auto"/>
            <w:noWrap/>
          </w:tcPr>
          <w:p w14:paraId="06E969A5"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1.08%</w:t>
            </w:r>
          </w:p>
        </w:tc>
      </w:tr>
      <w:tr w:rsidR="0038473D" w:rsidRPr="00DB3398" w14:paraId="1720B8AF"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D9A79D0"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4A3FD6CF"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43</w:t>
            </w:r>
          </w:p>
        </w:tc>
        <w:tc>
          <w:tcPr>
            <w:tcW w:w="1409" w:type="dxa"/>
            <w:tcBorders>
              <w:top w:val="nil"/>
              <w:left w:val="nil"/>
              <w:bottom w:val="single" w:sz="8" w:space="0" w:color="auto"/>
              <w:right w:val="single" w:sz="8" w:space="0" w:color="auto"/>
            </w:tcBorders>
            <w:shd w:val="clear" w:color="auto" w:fill="auto"/>
            <w:noWrap/>
          </w:tcPr>
          <w:p w14:paraId="0E20B086"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1.05%</w:t>
            </w:r>
          </w:p>
        </w:tc>
      </w:tr>
      <w:tr w:rsidR="0038473D" w:rsidRPr="00DB3398" w14:paraId="3388A2F0"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59C74C"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583F9183"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42</w:t>
            </w:r>
          </w:p>
        </w:tc>
        <w:tc>
          <w:tcPr>
            <w:tcW w:w="1409" w:type="dxa"/>
            <w:tcBorders>
              <w:top w:val="nil"/>
              <w:left w:val="nil"/>
              <w:bottom w:val="single" w:sz="8" w:space="0" w:color="auto"/>
              <w:right w:val="single" w:sz="8" w:space="0" w:color="auto"/>
            </w:tcBorders>
            <w:shd w:val="clear" w:color="auto" w:fill="auto"/>
            <w:noWrap/>
          </w:tcPr>
          <w:p w14:paraId="19BE45CE"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1.03%</w:t>
            </w:r>
          </w:p>
        </w:tc>
      </w:tr>
      <w:tr w:rsidR="0038473D" w:rsidRPr="00DB3398" w14:paraId="1D729E3E"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DFA662"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Chetumal, </w:t>
            </w:r>
            <w:proofErr w:type="spellStart"/>
            <w:proofErr w:type="gramStart"/>
            <w:r w:rsidRPr="0038473D">
              <w:rPr>
                <w:rFonts w:asciiTheme="minorHAnsi" w:hAnsiTheme="minorHAnsi" w:cstheme="minorHAnsi"/>
                <w:sz w:val="20"/>
                <w:szCs w:val="20"/>
              </w:rPr>
              <w:t>Q.Roo</w:t>
            </w:r>
            <w:proofErr w:type="spellEnd"/>
            <w:proofErr w:type="gramEnd"/>
          </w:p>
        </w:tc>
        <w:tc>
          <w:tcPr>
            <w:tcW w:w="1408" w:type="dxa"/>
            <w:tcBorders>
              <w:top w:val="nil"/>
              <w:left w:val="nil"/>
              <w:bottom w:val="single" w:sz="8" w:space="0" w:color="auto"/>
              <w:right w:val="single" w:sz="8" w:space="0" w:color="auto"/>
            </w:tcBorders>
            <w:shd w:val="clear" w:color="auto" w:fill="auto"/>
            <w:noWrap/>
          </w:tcPr>
          <w:p w14:paraId="6DFEC53B"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30</w:t>
            </w:r>
          </w:p>
        </w:tc>
        <w:tc>
          <w:tcPr>
            <w:tcW w:w="1409" w:type="dxa"/>
            <w:tcBorders>
              <w:top w:val="nil"/>
              <w:left w:val="nil"/>
              <w:bottom w:val="single" w:sz="8" w:space="0" w:color="auto"/>
              <w:right w:val="single" w:sz="8" w:space="0" w:color="auto"/>
            </w:tcBorders>
            <w:shd w:val="clear" w:color="auto" w:fill="auto"/>
            <w:noWrap/>
          </w:tcPr>
          <w:p w14:paraId="61E15B26"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0.73%</w:t>
            </w:r>
          </w:p>
        </w:tc>
      </w:tr>
      <w:tr w:rsidR="0038473D" w:rsidRPr="00DB3398" w14:paraId="2465541E"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12D7768"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Durango, </w:t>
            </w:r>
            <w:proofErr w:type="spellStart"/>
            <w:r w:rsidRPr="0038473D">
              <w:rPr>
                <w:rFonts w:asciiTheme="minorHAnsi" w:hAnsiTheme="minorHAnsi" w:cstheme="minorHAnsi"/>
                <w:sz w:val="20"/>
                <w:szCs w:val="20"/>
              </w:rPr>
              <w:t>Dgo</w:t>
            </w:r>
            <w:proofErr w:type="spellEnd"/>
            <w:r w:rsidRPr="0038473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84AA42D"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27</w:t>
            </w:r>
          </w:p>
        </w:tc>
        <w:tc>
          <w:tcPr>
            <w:tcW w:w="1409" w:type="dxa"/>
            <w:tcBorders>
              <w:top w:val="nil"/>
              <w:left w:val="nil"/>
              <w:bottom w:val="single" w:sz="8" w:space="0" w:color="auto"/>
              <w:right w:val="single" w:sz="8" w:space="0" w:color="auto"/>
            </w:tcBorders>
            <w:shd w:val="clear" w:color="auto" w:fill="auto"/>
            <w:noWrap/>
          </w:tcPr>
          <w:p w14:paraId="4289328E"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0.66%</w:t>
            </w:r>
          </w:p>
        </w:tc>
      </w:tr>
      <w:tr w:rsidR="0038473D" w:rsidRPr="00DB3398" w14:paraId="7561547D"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E58D744"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Puebla, </w:t>
            </w:r>
            <w:proofErr w:type="spellStart"/>
            <w:r w:rsidRPr="0038473D">
              <w:rPr>
                <w:rFonts w:asciiTheme="minorHAnsi" w:hAnsiTheme="minorHAnsi" w:cstheme="minorHAnsi"/>
                <w:sz w:val="20"/>
                <w:szCs w:val="20"/>
              </w:rPr>
              <w:t>Pue</w:t>
            </w:r>
            <w:proofErr w:type="spellEnd"/>
            <w:r w:rsidRPr="0038473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114739C7"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24</w:t>
            </w:r>
          </w:p>
        </w:tc>
        <w:tc>
          <w:tcPr>
            <w:tcW w:w="1409" w:type="dxa"/>
            <w:tcBorders>
              <w:top w:val="nil"/>
              <w:left w:val="nil"/>
              <w:bottom w:val="single" w:sz="8" w:space="0" w:color="auto"/>
              <w:right w:val="single" w:sz="8" w:space="0" w:color="auto"/>
            </w:tcBorders>
            <w:shd w:val="clear" w:color="auto" w:fill="auto"/>
            <w:noWrap/>
          </w:tcPr>
          <w:p w14:paraId="7480343F"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0.59%</w:t>
            </w:r>
          </w:p>
        </w:tc>
      </w:tr>
      <w:tr w:rsidR="0038473D" w:rsidRPr="00DB3398" w14:paraId="30F3069E"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1F32623"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Aguascalientes, </w:t>
            </w:r>
            <w:proofErr w:type="spellStart"/>
            <w:r w:rsidRPr="0038473D">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580AE7C0"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19</w:t>
            </w:r>
          </w:p>
        </w:tc>
        <w:tc>
          <w:tcPr>
            <w:tcW w:w="1409" w:type="dxa"/>
            <w:tcBorders>
              <w:top w:val="nil"/>
              <w:left w:val="nil"/>
              <w:bottom w:val="single" w:sz="8" w:space="0" w:color="auto"/>
              <w:right w:val="single" w:sz="8" w:space="0" w:color="auto"/>
            </w:tcBorders>
            <w:shd w:val="clear" w:color="auto" w:fill="auto"/>
            <w:noWrap/>
          </w:tcPr>
          <w:p w14:paraId="3569A531"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0.46%</w:t>
            </w:r>
          </w:p>
        </w:tc>
      </w:tr>
      <w:tr w:rsidR="0038473D" w:rsidRPr="00DB3398" w14:paraId="414BCE74"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651AF9D"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36CB2088"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14</w:t>
            </w:r>
          </w:p>
        </w:tc>
        <w:tc>
          <w:tcPr>
            <w:tcW w:w="1409" w:type="dxa"/>
            <w:tcBorders>
              <w:top w:val="nil"/>
              <w:left w:val="nil"/>
              <w:bottom w:val="single" w:sz="8" w:space="0" w:color="auto"/>
              <w:right w:val="single" w:sz="8" w:space="0" w:color="auto"/>
            </w:tcBorders>
            <w:shd w:val="clear" w:color="auto" w:fill="auto"/>
            <w:noWrap/>
          </w:tcPr>
          <w:p w14:paraId="29ABDD0C"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0.34%</w:t>
            </w:r>
          </w:p>
        </w:tc>
      </w:tr>
      <w:tr w:rsidR="0038473D" w:rsidRPr="00DB3398" w14:paraId="73E07815"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43C21B8"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La Paz, B.C.S.</w:t>
            </w:r>
          </w:p>
        </w:tc>
        <w:tc>
          <w:tcPr>
            <w:tcW w:w="1408" w:type="dxa"/>
            <w:tcBorders>
              <w:top w:val="nil"/>
              <w:left w:val="nil"/>
              <w:bottom w:val="single" w:sz="8" w:space="0" w:color="auto"/>
              <w:right w:val="single" w:sz="8" w:space="0" w:color="auto"/>
            </w:tcBorders>
            <w:shd w:val="clear" w:color="auto" w:fill="auto"/>
            <w:noWrap/>
          </w:tcPr>
          <w:p w14:paraId="61E640B2"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13</w:t>
            </w:r>
          </w:p>
        </w:tc>
        <w:tc>
          <w:tcPr>
            <w:tcW w:w="1409" w:type="dxa"/>
            <w:tcBorders>
              <w:top w:val="nil"/>
              <w:left w:val="nil"/>
              <w:bottom w:val="single" w:sz="8" w:space="0" w:color="auto"/>
              <w:right w:val="single" w:sz="8" w:space="0" w:color="auto"/>
            </w:tcBorders>
            <w:shd w:val="clear" w:color="auto" w:fill="auto"/>
            <w:noWrap/>
          </w:tcPr>
          <w:p w14:paraId="594CD6FC"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0.32%</w:t>
            </w:r>
          </w:p>
        </w:tc>
      </w:tr>
      <w:tr w:rsidR="0038473D" w:rsidRPr="00DB3398" w14:paraId="3E0C5FBD"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56BA51C" w14:textId="77777777" w:rsidR="0038473D" w:rsidRPr="0038473D" w:rsidRDefault="0038473D" w:rsidP="0038473D">
            <w:pPr>
              <w:rPr>
                <w:rFonts w:asciiTheme="minorHAnsi" w:hAnsiTheme="minorHAnsi" w:cstheme="minorHAnsi"/>
                <w:sz w:val="20"/>
                <w:szCs w:val="20"/>
              </w:rPr>
            </w:pPr>
            <w:proofErr w:type="spellStart"/>
            <w:r w:rsidRPr="0038473D">
              <w:rPr>
                <w:rFonts w:asciiTheme="minorHAnsi" w:hAnsiTheme="minorHAnsi" w:cstheme="minorHAnsi"/>
                <w:sz w:val="20"/>
                <w:szCs w:val="20"/>
              </w:rPr>
              <w:t>Xalapa</w:t>
            </w:r>
            <w:proofErr w:type="spellEnd"/>
            <w:r w:rsidRPr="0038473D">
              <w:rPr>
                <w:rFonts w:asciiTheme="minorHAnsi" w:hAnsiTheme="minorHAnsi" w:cstheme="minorHAnsi"/>
                <w:sz w:val="20"/>
                <w:szCs w:val="20"/>
              </w:rPr>
              <w:t>, Ver.</w:t>
            </w:r>
          </w:p>
        </w:tc>
        <w:tc>
          <w:tcPr>
            <w:tcW w:w="1408" w:type="dxa"/>
            <w:tcBorders>
              <w:top w:val="nil"/>
              <w:left w:val="nil"/>
              <w:bottom w:val="single" w:sz="8" w:space="0" w:color="auto"/>
              <w:right w:val="single" w:sz="8" w:space="0" w:color="auto"/>
            </w:tcBorders>
            <w:shd w:val="clear" w:color="auto" w:fill="auto"/>
            <w:noWrap/>
          </w:tcPr>
          <w:p w14:paraId="0DA9D0CE"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13</w:t>
            </w:r>
          </w:p>
        </w:tc>
        <w:tc>
          <w:tcPr>
            <w:tcW w:w="1409" w:type="dxa"/>
            <w:tcBorders>
              <w:top w:val="nil"/>
              <w:left w:val="nil"/>
              <w:bottom w:val="single" w:sz="8" w:space="0" w:color="auto"/>
              <w:right w:val="single" w:sz="8" w:space="0" w:color="auto"/>
            </w:tcBorders>
            <w:shd w:val="clear" w:color="auto" w:fill="auto"/>
            <w:noWrap/>
          </w:tcPr>
          <w:p w14:paraId="46BC3A10"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0.32%</w:t>
            </w:r>
          </w:p>
        </w:tc>
      </w:tr>
      <w:tr w:rsidR="0038473D" w:rsidRPr="00DB3398" w14:paraId="4BBE3247"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BC1AD06"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Tlaxcala, </w:t>
            </w:r>
            <w:proofErr w:type="spellStart"/>
            <w:r w:rsidRPr="0038473D">
              <w:rPr>
                <w:rFonts w:asciiTheme="minorHAnsi" w:hAnsiTheme="minorHAnsi" w:cstheme="minorHAnsi"/>
                <w:sz w:val="20"/>
                <w:szCs w:val="20"/>
              </w:rPr>
              <w:t>Tlax</w:t>
            </w:r>
            <w:proofErr w:type="spellEnd"/>
            <w:r w:rsidRPr="0038473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017B770"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13</w:t>
            </w:r>
          </w:p>
        </w:tc>
        <w:tc>
          <w:tcPr>
            <w:tcW w:w="1409" w:type="dxa"/>
            <w:tcBorders>
              <w:top w:val="nil"/>
              <w:left w:val="nil"/>
              <w:bottom w:val="single" w:sz="8" w:space="0" w:color="auto"/>
              <w:right w:val="single" w:sz="8" w:space="0" w:color="auto"/>
            </w:tcBorders>
            <w:shd w:val="clear" w:color="auto" w:fill="auto"/>
            <w:noWrap/>
          </w:tcPr>
          <w:p w14:paraId="38E5320F"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0.32%</w:t>
            </w:r>
          </w:p>
        </w:tc>
      </w:tr>
      <w:tr w:rsidR="0038473D" w:rsidRPr="00DB3398" w14:paraId="215D0B5A"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A9BBCE9"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tcPr>
          <w:p w14:paraId="23AB1ECC"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11</w:t>
            </w:r>
          </w:p>
        </w:tc>
        <w:tc>
          <w:tcPr>
            <w:tcW w:w="1409" w:type="dxa"/>
            <w:tcBorders>
              <w:top w:val="nil"/>
              <w:left w:val="nil"/>
              <w:bottom w:val="single" w:sz="8" w:space="0" w:color="auto"/>
              <w:right w:val="single" w:sz="8" w:space="0" w:color="auto"/>
            </w:tcBorders>
            <w:shd w:val="clear" w:color="auto" w:fill="auto"/>
            <w:noWrap/>
          </w:tcPr>
          <w:p w14:paraId="76C93E04"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0.27%</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14:paraId="59D3C1EE"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098944C1" w14:textId="77777777"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721F5768"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376932EF"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14:paraId="1203013E"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2BC3AFC3"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0D3A9FB0"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1D0CE03B" w14:textId="77777777" w:rsidR="002D0E84" w:rsidRPr="00875D0D" w:rsidRDefault="002D0E84" w:rsidP="0017624E">
            <w:pPr>
              <w:rPr>
                <w:rFonts w:ascii="Arial" w:hAnsi="Arial" w:cs="Arial"/>
                <w:b/>
                <w:bCs/>
                <w:color w:val="FFFFFF"/>
                <w:sz w:val="20"/>
              </w:rPr>
            </w:pPr>
          </w:p>
        </w:tc>
      </w:tr>
      <w:tr w:rsidR="0038473D" w:rsidRPr="00577FA5" w14:paraId="621489E1"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85357C8"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Ciudad Juárez, </w:t>
            </w:r>
            <w:proofErr w:type="spellStart"/>
            <w:r w:rsidRPr="0038473D">
              <w:rPr>
                <w:rFonts w:asciiTheme="minorHAnsi" w:hAnsiTheme="minorHAnsi" w:cstheme="minorHAnsi"/>
                <w:sz w:val="20"/>
                <w:szCs w:val="20"/>
              </w:rPr>
              <w:t>Chih</w:t>
            </w:r>
            <w:proofErr w:type="spellEnd"/>
            <w:r w:rsidRPr="0038473D">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505B463B"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9</w:t>
            </w:r>
          </w:p>
        </w:tc>
        <w:tc>
          <w:tcPr>
            <w:tcW w:w="1503" w:type="dxa"/>
            <w:tcBorders>
              <w:top w:val="nil"/>
              <w:left w:val="nil"/>
              <w:bottom w:val="single" w:sz="8" w:space="0" w:color="auto"/>
              <w:right w:val="single" w:sz="8" w:space="0" w:color="auto"/>
            </w:tcBorders>
            <w:shd w:val="clear" w:color="auto" w:fill="auto"/>
            <w:noWrap/>
          </w:tcPr>
          <w:p w14:paraId="58A23693"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0.22%</w:t>
            </w:r>
          </w:p>
        </w:tc>
      </w:tr>
      <w:tr w:rsidR="0038473D" w:rsidRPr="00577FA5" w14:paraId="763998B6"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8FA6CD5"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Cancún, Q. Roo</w:t>
            </w:r>
          </w:p>
        </w:tc>
        <w:tc>
          <w:tcPr>
            <w:tcW w:w="1246" w:type="dxa"/>
            <w:tcBorders>
              <w:top w:val="nil"/>
              <w:left w:val="nil"/>
              <w:bottom w:val="single" w:sz="8" w:space="0" w:color="auto"/>
              <w:right w:val="single" w:sz="8" w:space="0" w:color="auto"/>
            </w:tcBorders>
            <w:shd w:val="clear" w:color="auto" w:fill="auto"/>
            <w:noWrap/>
          </w:tcPr>
          <w:p w14:paraId="4A2DF707"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8</w:t>
            </w:r>
          </w:p>
        </w:tc>
        <w:tc>
          <w:tcPr>
            <w:tcW w:w="1503" w:type="dxa"/>
            <w:tcBorders>
              <w:top w:val="nil"/>
              <w:left w:val="nil"/>
              <w:bottom w:val="single" w:sz="8" w:space="0" w:color="auto"/>
              <w:right w:val="single" w:sz="8" w:space="0" w:color="auto"/>
            </w:tcBorders>
            <w:shd w:val="clear" w:color="auto" w:fill="auto"/>
            <w:noWrap/>
          </w:tcPr>
          <w:p w14:paraId="606AA49A"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0.20%</w:t>
            </w:r>
          </w:p>
        </w:tc>
      </w:tr>
      <w:tr w:rsidR="0038473D" w:rsidRPr="00577FA5" w14:paraId="2A6091B6"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AA4661F" w14:textId="77777777" w:rsidR="0038473D" w:rsidRPr="0038473D" w:rsidRDefault="0038473D" w:rsidP="0038473D">
            <w:pPr>
              <w:rPr>
                <w:rFonts w:asciiTheme="minorHAnsi" w:hAnsiTheme="minorHAnsi" w:cstheme="minorHAnsi"/>
                <w:sz w:val="20"/>
                <w:szCs w:val="20"/>
              </w:rPr>
            </w:pPr>
            <w:proofErr w:type="spellStart"/>
            <w:r w:rsidRPr="0038473D">
              <w:rPr>
                <w:rFonts w:asciiTheme="minorHAnsi" w:hAnsiTheme="minorHAnsi" w:cstheme="minorHAnsi"/>
                <w:sz w:val="20"/>
                <w:szCs w:val="20"/>
              </w:rPr>
              <w:t>Culiacán</w:t>
            </w:r>
            <w:proofErr w:type="spellEnd"/>
            <w:r w:rsidRPr="0038473D">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tcPr>
          <w:p w14:paraId="2FEE6B3C"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7</w:t>
            </w:r>
          </w:p>
        </w:tc>
        <w:tc>
          <w:tcPr>
            <w:tcW w:w="1503" w:type="dxa"/>
            <w:tcBorders>
              <w:top w:val="nil"/>
              <w:left w:val="nil"/>
              <w:bottom w:val="single" w:sz="8" w:space="0" w:color="auto"/>
              <w:right w:val="single" w:sz="8" w:space="0" w:color="auto"/>
            </w:tcBorders>
            <w:shd w:val="clear" w:color="auto" w:fill="auto"/>
            <w:noWrap/>
          </w:tcPr>
          <w:p w14:paraId="6894AA92"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0.17%</w:t>
            </w:r>
          </w:p>
        </w:tc>
      </w:tr>
      <w:tr w:rsidR="0038473D" w:rsidRPr="00577FA5" w14:paraId="62A2A9F8"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5C2B175"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León, </w:t>
            </w:r>
            <w:proofErr w:type="spellStart"/>
            <w:r w:rsidRPr="0038473D">
              <w:rPr>
                <w:rFonts w:asciiTheme="minorHAnsi" w:hAnsiTheme="minorHAnsi" w:cstheme="minorHAnsi"/>
                <w:sz w:val="20"/>
                <w:szCs w:val="20"/>
              </w:rPr>
              <w:t>Gto</w:t>
            </w:r>
            <w:proofErr w:type="spellEnd"/>
            <w:r w:rsidRPr="0038473D">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291EB424"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6</w:t>
            </w:r>
          </w:p>
        </w:tc>
        <w:tc>
          <w:tcPr>
            <w:tcW w:w="1503" w:type="dxa"/>
            <w:tcBorders>
              <w:top w:val="nil"/>
              <w:left w:val="nil"/>
              <w:bottom w:val="single" w:sz="8" w:space="0" w:color="auto"/>
              <w:right w:val="single" w:sz="8" w:space="0" w:color="auto"/>
            </w:tcBorders>
            <w:shd w:val="clear" w:color="auto" w:fill="auto"/>
            <w:noWrap/>
          </w:tcPr>
          <w:p w14:paraId="19F18C5E"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0.15%</w:t>
            </w:r>
          </w:p>
        </w:tc>
      </w:tr>
      <w:tr w:rsidR="0038473D" w:rsidRPr="00577FA5" w14:paraId="1C31B1BA"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55F754D"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Toluca, Edo. de Mex.</w:t>
            </w:r>
          </w:p>
        </w:tc>
        <w:tc>
          <w:tcPr>
            <w:tcW w:w="1246" w:type="dxa"/>
            <w:tcBorders>
              <w:top w:val="nil"/>
              <w:left w:val="nil"/>
              <w:bottom w:val="single" w:sz="8" w:space="0" w:color="auto"/>
              <w:right w:val="single" w:sz="8" w:space="0" w:color="auto"/>
            </w:tcBorders>
            <w:shd w:val="clear" w:color="auto" w:fill="auto"/>
            <w:noWrap/>
          </w:tcPr>
          <w:p w14:paraId="0A23B529"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6</w:t>
            </w:r>
          </w:p>
        </w:tc>
        <w:tc>
          <w:tcPr>
            <w:tcW w:w="1503" w:type="dxa"/>
            <w:tcBorders>
              <w:top w:val="nil"/>
              <w:left w:val="nil"/>
              <w:bottom w:val="single" w:sz="8" w:space="0" w:color="auto"/>
              <w:right w:val="single" w:sz="8" w:space="0" w:color="auto"/>
            </w:tcBorders>
            <w:shd w:val="clear" w:color="auto" w:fill="auto"/>
            <w:noWrap/>
          </w:tcPr>
          <w:p w14:paraId="16E9A37D"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0.15%</w:t>
            </w:r>
          </w:p>
        </w:tc>
      </w:tr>
      <w:tr w:rsidR="0038473D" w:rsidRPr="00577FA5" w14:paraId="2BBFFE53"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97BF2B4"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tcPr>
          <w:p w14:paraId="631ABDD4"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5</w:t>
            </w:r>
          </w:p>
        </w:tc>
        <w:tc>
          <w:tcPr>
            <w:tcW w:w="1503" w:type="dxa"/>
            <w:tcBorders>
              <w:top w:val="nil"/>
              <w:left w:val="nil"/>
              <w:bottom w:val="single" w:sz="8" w:space="0" w:color="auto"/>
              <w:right w:val="single" w:sz="8" w:space="0" w:color="auto"/>
            </w:tcBorders>
            <w:shd w:val="clear" w:color="auto" w:fill="auto"/>
            <w:noWrap/>
          </w:tcPr>
          <w:p w14:paraId="13F15113"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0.12%</w:t>
            </w:r>
          </w:p>
        </w:tc>
      </w:tr>
      <w:tr w:rsidR="0038473D" w:rsidRPr="00577FA5" w14:paraId="3F7F541D"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F8C875F"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Pachuca, </w:t>
            </w:r>
            <w:proofErr w:type="spellStart"/>
            <w:r w:rsidRPr="0038473D">
              <w:rPr>
                <w:rFonts w:asciiTheme="minorHAnsi" w:hAnsiTheme="minorHAnsi" w:cstheme="minorHAnsi"/>
                <w:sz w:val="20"/>
                <w:szCs w:val="20"/>
              </w:rPr>
              <w:t>Hgo</w:t>
            </w:r>
            <w:proofErr w:type="spellEnd"/>
            <w:r w:rsidRPr="0038473D">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tcPr>
          <w:p w14:paraId="4D3243D1"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5</w:t>
            </w:r>
          </w:p>
        </w:tc>
        <w:tc>
          <w:tcPr>
            <w:tcW w:w="1503" w:type="dxa"/>
            <w:tcBorders>
              <w:top w:val="nil"/>
              <w:left w:val="nil"/>
              <w:bottom w:val="single" w:sz="8" w:space="0" w:color="auto"/>
              <w:right w:val="single" w:sz="8" w:space="0" w:color="auto"/>
            </w:tcBorders>
            <w:shd w:val="clear" w:color="auto" w:fill="auto"/>
            <w:noWrap/>
          </w:tcPr>
          <w:p w14:paraId="1C608FF4"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0.12%</w:t>
            </w:r>
          </w:p>
        </w:tc>
      </w:tr>
      <w:tr w:rsidR="0038473D" w:rsidRPr="00577FA5" w14:paraId="6E42F3FD"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2CAB986"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Ciudad Victoria, Tamps.</w:t>
            </w:r>
          </w:p>
        </w:tc>
        <w:tc>
          <w:tcPr>
            <w:tcW w:w="1246" w:type="dxa"/>
            <w:tcBorders>
              <w:top w:val="nil"/>
              <w:left w:val="nil"/>
              <w:bottom w:val="single" w:sz="8" w:space="0" w:color="auto"/>
              <w:right w:val="single" w:sz="8" w:space="0" w:color="auto"/>
            </w:tcBorders>
            <w:shd w:val="clear" w:color="auto" w:fill="auto"/>
            <w:noWrap/>
          </w:tcPr>
          <w:p w14:paraId="063C0D1E"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5</w:t>
            </w:r>
          </w:p>
        </w:tc>
        <w:tc>
          <w:tcPr>
            <w:tcW w:w="1503" w:type="dxa"/>
            <w:tcBorders>
              <w:top w:val="nil"/>
              <w:left w:val="nil"/>
              <w:bottom w:val="single" w:sz="8" w:space="0" w:color="auto"/>
              <w:right w:val="single" w:sz="8" w:space="0" w:color="auto"/>
            </w:tcBorders>
            <w:shd w:val="clear" w:color="auto" w:fill="auto"/>
            <w:noWrap/>
          </w:tcPr>
          <w:p w14:paraId="48CFFDA8"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0.12%</w:t>
            </w:r>
          </w:p>
        </w:tc>
      </w:tr>
      <w:tr w:rsidR="0038473D" w:rsidRPr="00577FA5" w14:paraId="41B18BF1"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9972893"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56FC4606"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4</w:t>
            </w:r>
          </w:p>
        </w:tc>
        <w:tc>
          <w:tcPr>
            <w:tcW w:w="1503" w:type="dxa"/>
            <w:tcBorders>
              <w:top w:val="nil"/>
              <w:left w:val="nil"/>
              <w:bottom w:val="single" w:sz="8" w:space="0" w:color="auto"/>
              <w:right w:val="single" w:sz="8" w:space="0" w:color="auto"/>
            </w:tcBorders>
            <w:shd w:val="clear" w:color="auto" w:fill="auto"/>
            <w:noWrap/>
          </w:tcPr>
          <w:p w14:paraId="27173DFB"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0.10%</w:t>
            </w:r>
          </w:p>
        </w:tc>
      </w:tr>
      <w:tr w:rsidR="0038473D" w:rsidRPr="00577FA5" w14:paraId="5D18E6B4"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3527A83"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14:paraId="1E32C4E4"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4</w:t>
            </w:r>
          </w:p>
        </w:tc>
        <w:tc>
          <w:tcPr>
            <w:tcW w:w="1503" w:type="dxa"/>
            <w:tcBorders>
              <w:top w:val="nil"/>
              <w:left w:val="nil"/>
              <w:bottom w:val="single" w:sz="8" w:space="0" w:color="auto"/>
              <w:right w:val="single" w:sz="8" w:space="0" w:color="auto"/>
            </w:tcBorders>
            <w:shd w:val="clear" w:color="auto" w:fill="auto"/>
            <w:noWrap/>
          </w:tcPr>
          <w:p w14:paraId="1CB81561"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0.10%</w:t>
            </w:r>
          </w:p>
        </w:tc>
      </w:tr>
      <w:tr w:rsidR="0038473D" w:rsidRPr="00577FA5" w14:paraId="789AE660"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F5777A3"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 xml:space="preserve">Mérida, </w:t>
            </w:r>
            <w:proofErr w:type="spellStart"/>
            <w:r w:rsidRPr="0038473D">
              <w:rPr>
                <w:rFonts w:asciiTheme="minorHAnsi" w:hAnsiTheme="minorHAnsi" w:cstheme="minorHAnsi"/>
                <w:sz w:val="20"/>
                <w:szCs w:val="20"/>
              </w:rPr>
              <w:t>Yuc</w:t>
            </w:r>
            <w:proofErr w:type="spellEnd"/>
            <w:r w:rsidRPr="0038473D">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79955F6F"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3</w:t>
            </w:r>
          </w:p>
        </w:tc>
        <w:tc>
          <w:tcPr>
            <w:tcW w:w="1503" w:type="dxa"/>
            <w:tcBorders>
              <w:top w:val="nil"/>
              <w:left w:val="nil"/>
              <w:bottom w:val="single" w:sz="8" w:space="0" w:color="auto"/>
              <w:right w:val="single" w:sz="8" w:space="0" w:color="auto"/>
            </w:tcBorders>
            <w:shd w:val="clear" w:color="auto" w:fill="auto"/>
            <w:noWrap/>
          </w:tcPr>
          <w:p w14:paraId="727B2081"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0.07%</w:t>
            </w:r>
          </w:p>
        </w:tc>
      </w:tr>
      <w:tr w:rsidR="0038473D" w:rsidRPr="00577FA5" w14:paraId="107E0E5A"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984F845"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14:paraId="2D355199"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2</w:t>
            </w:r>
          </w:p>
        </w:tc>
        <w:tc>
          <w:tcPr>
            <w:tcW w:w="1503" w:type="dxa"/>
            <w:tcBorders>
              <w:top w:val="nil"/>
              <w:left w:val="nil"/>
              <w:bottom w:val="single" w:sz="8" w:space="0" w:color="auto"/>
              <w:right w:val="single" w:sz="8" w:space="0" w:color="auto"/>
            </w:tcBorders>
            <w:shd w:val="clear" w:color="auto" w:fill="auto"/>
            <w:noWrap/>
          </w:tcPr>
          <w:p w14:paraId="71882EF3"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0.05%</w:t>
            </w:r>
          </w:p>
        </w:tc>
      </w:tr>
      <w:tr w:rsidR="0038473D" w:rsidRPr="00577FA5" w14:paraId="6A7F0905"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EF93FBA"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Guadalajara, Jal.</w:t>
            </w:r>
          </w:p>
        </w:tc>
        <w:tc>
          <w:tcPr>
            <w:tcW w:w="1246" w:type="dxa"/>
            <w:tcBorders>
              <w:top w:val="nil"/>
              <w:left w:val="nil"/>
              <w:bottom w:val="single" w:sz="8" w:space="0" w:color="auto"/>
              <w:right w:val="single" w:sz="8" w:space="0" w:color="auto"/>
            </w:tcBorders>
            <w:shd w:val="clear" w:color="auto" w:fill="auto"/>
            <w:noWrap/>
          </w:tcPr>
          <w:p w14:paraId="4B0EA2C7"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1</w:t>
            </w:r>
          </w:p>
        </w:tc>
        <w:tc>
          <w:tcPr>
            <w:tcW w:w="1503" w:type="dxa"/>
            <w:tcBorders>
              <w:top w:val="nil"/>
              <w:left w:val="nil"/>
              <w:bottom w:val="single" w:sz="8" w:space="0" w:color="auto"/>
              <w:right w:val="single" w:sz="8" w:space="0" w:color="auto"/>
            </w:tcBorders>
            <w:shd w:val="clear" w:color="auto" w:fill="auto"/>
            <w:noWrap/>
          </w:tcPr>
          <w:p w14:paraId="0B878ED4"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0.02%</w:t>
            </w:r>
          </w:p>
        </w:tc>
      </w:tr>
      <w:tr w:rsidR="0038473D" w:rsidRPr="00577FA5" w14:paraId="2BC66BA1"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689F2E3"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14:paraId="1537C1CA"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17121543" w14:textId="77777777" w:rsidR="0038473D" w:rsidRPr="0038473D" w:rsidRDefault="0038473D" w:rsidP="0038473D">
            <w:pPr>
              <w:rPr>
                <w:rFonts w:asciiTheme="minorHAnsi" w:hAnsiTheme="minorHAnsi" w:cstheme="minorHAnsi"/>
                <w:sz w:val="20"/>
                <w:szCs w:val="20"/>
              </w:rPr>
            </w:pPr>
            <w:r w:rsidRPr="0038473D">
              <w:rPr>
                <w:rFonts w:asciiTheme="minorHAnsi" w:hAnsiTheme="minorHAnsi" w:cstheme="minorHAnsi"/>
                <w:sz w:val="20"/>
                <w:szCs w:val="20"/>
              </w:rPr>
              <w:t>0.00%</w:t>
            </w:r>
          </w:p>
        </w:tc>
      </w:tr>
      <w:tr w:rsidR="00372836" w14:paraId="02678D6F"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43E013F3" w14:textId="77777777" w:rsidR="00372836" w:rsidRPr="00066153" w:rsidRDefault="00372836" w:rsidP="00372836">
            <w:pPr>
              <w:rPr>
                <w:rFonts w:asciiTheme="minorHAnsi" w:hAnsiTheme="minorHAnsi" w:cstheme="minorHAnsi"/>
                <w:b/>
                <w:bCs/>
                <w:sz w:val="20"/>
                <w:szCs w:val="20"/>
              </w:rPr>
            </w:pPr>
            <w:r w:rsidRPr="00066153">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066A2B1F" w14:textId="77777777" w:rsidR="00372836" w:rsidRPr="00066153" w:rsidRDefault="0038473D" w:rsidP="00372836">
            <w:pPr>
              <w:jc w:val="center"/>
              <w:rPr>
                <w:rFonts w:asciiTheme="minorHAnsi" w:hAnsiTheme="minorHAnsi" w:cstheme="minorHAnsi"/>
                <w:b/>
                <w:bCs/>
                <w:sz w:val="20"/>
                <w:szCs w:val="20"/>
              </w:rPr>
            </w:pPr>
            <w:r>
              <w:rPr>
                <w:rFonts w:asciiTheme="minorHAnsi" w:hAnsiTheme="minorHAnsi" w:cstheme="minorHAnsi"/>
                <w:b/>
                <w:bCs/>
                <w:sz w:val="20"/>
                <w:szCs w:val="20"/>
              </w:rPr>
              <w:t>4</w:t>
            </w:r>
            <w:r w:rsidR="00966A4C">
              <w:rPr>
                <w:rFonts w:asciiTheme="minorHAnsi" w:hAnsiTheme="minorHAnsi" w:cstheme="minorHAnsi"/>
                <w:b/>
                <w:bCs/>
                <w:sz w:val="20"/>
                <w:szCs w:val="20"/>
              </w:rPr>
              <w:t>,</w:t>
            </w:r>
            <w:r>
              <w:rPr>
                <w:rFonts w:asciiTheme="minorHAnsi" w:hAnsiTheme="minorHAnsi" w:cstheme="minorHAnsi"/>
                <w:b/>
                <w:bCs/>
                <w:sz w:val="20"/>
                <w:szCs w:val="20"/>
              </w:rPr>
              <w:t>088</w:t>
            </w:r>
            <w:r w:rsidR="00BE6BBF" w:rsidRPr="00066153">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3204EF92" w14:textId="77777777" w:rsidR="00372836" w:rsidRPr="00066153" w:rsidRDefault="00372836" w:rsidP="00372836">
            <w:pPr>
              <w:jc w:val="center"/>
              <w:rPr>
                <w:rFonts w:asciiTheme="minorHAnsi" w:hAnsiTheme="minorHAnsi" w:cstheme="minorHAnsi"/>
                <w:b/>
                <w:sz w:val="20"/>
                <w:szCs w:val="20"/>
              </w:rPr>
            </w:pPr>
            <w:r w:rsidRPr="00066153">
              <w:rPr>
                <w:rFonts w:asciiTheme="minorHAnsi" w:hAnsiTheme="minorHAnsi" w:cstheme="minorHAnsi"/>
                <w:b/>
                <w:sz w:val="20"/>
                <w:szCs w:val="20"/>
              </w:rPr>
              <w:t>100.00%</w:t>
            </w:r>
          </w:p>
        </w:tc>
      </w:tr>
    </w:tbl>
    <w:p w14:paraId="59A9832F" w14:textId="4D433874" w:rsidR="00CE48C4" w:rsidRDefault="005D7378" w:rsidP="00CE48C4">
      <w:pPr>
        <w:ind w:left="720"/>
        <w:jc w:val="both"/>
        <w:rPr>
          <w:rFonts w:ascii="Georgia" w:hAnsi="Georgia" w:cs="Arial"/>
          <w:b/>
          <w:sz w:val="22"/>
          <w:szCs w:val="22"/>
          <w:lang w:val="es-MX"/>
        </w:rPr>
      </w:pPr>
      <w:r>
        <w:rPr>
          <w:noProof/>
        </w:rPr>
        <w:lastRenderedPageBreak/>
        <w:drawing>
          <wp:inline distT="0" distB="0" distL="0" distR="0" wp14:anchorId="26D99448" wp14:editId="75C0D493">
            <wp:extent cx="5096510" cy="7456170"/>
            <wp:effectExtent l="0" t="0" r="8890" b="11430"/>
            <wp:docPr id="9" name="Gráfico 9">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14:paraId="571A9431" w14:textId="77777777" w:rsidR="00F578C7" w:rsidRDefault="00F578C7" w:rsidP="001A52FD">
      <w:pPr>
        <w:numPr>
          <w:ilvl w:val="0"/>
          <w:numId w:val="2"/>
        </w:numPr>
        <w:jc w:val="both"/>
        <w:rPr>
          <w:rFonts w:ascii="Georgia" w:hAnsi="Georgia" w:cs="Arial"/>
          <w:b/>
          <w:sz w:val="22"/>
          <w:szCs w:val="22"/>
          <w:lang w:val="es-MX"/>
        </w:rPr>
      </w:pPr>
      <w:r w:rsidRPr="008244AC">
        <w:rPr>
          <w:rFonts w:ascii="Georgia" w:hAnsi="Georgia" w:cs="Arial"/>
          <w:b/>
          <w:sz w:val="22"/>
          <w:szCs w:val="22"/>
          <w:lang w:val="es-MX"/>
        </w:rPr>
        <w:lastRenderedPageBreak/>
        <w:t>Medio preferido</w:t>
      </w:r>
      <w:r w:rsidRPr="00D863B9">
        <w:rPr>
          <w:rFonts w:ascii="Georgia" w:hAnsi="Georgia" w:cs="Arial"/>
          <w:b/>
          <w:sz w:val="22"/>
          <w:szCs w:val="22"/>
          <w:lang w:val="es-MX"/>
        </w:rPr>
        <w:t xml:space="preserve">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14:paraId="31B3FEC8" w14:textId="77777777" w:rsidR="001A52FD" w:rsidRPr="003640DF" w:rsidRDefault="001A52FD" w:rsidP="001A52FD">
      <w:pPr>
        <w:ind w:left="720"/>
        <w:jc w:val="both"/>
        <w:rPr>
          <w:rFonts w:ascii="Georgia" w:hAnsi="Georgia" w:cs="Arial"/>
          <w:b/>
          <w:sz w:val="22"/>
          <w:szCs w:val="22"/>
          <w:lang w:val="es-MX"/>
        </w:rPr>
      </w:pPr>
    </w:p>
    <w:p w14:paraId="61421678" w14:textId="77777777" w:rsidR="00F578C7" w:rsidRPr="003640DF" w:rsidRDefault="00F578C7" w:rsidP="00F578C7">
      <w:pPr>
        <w:ind w:left="360"/>
        <w:jc w:val="both"/>
        <w:rPr>
          <w:rFonts w:ascii="Georgia" w:hAnsi="Georgia" w:cs="Arial"/>
          <w:b/>
          <w:sz w:val="22"/>
          <w:szCs w:val="22"/>
          <w:lang w:val="es-MX"/>
        </w:rPr>
      </w:pPr>
    </w:p>
    <w:p w14:paraId="3F64F54D"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14:paraId="1F23608B"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14:paraId="2B3B789C"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14:paraId="238EB06C" w14:textId="77777777" w:rsidR="00F578C7" w:rsidRPr="003640DF" w:rsidRDefault="00F578C7" w:rsidP="003640DF">
      <w:pPr>
        <w:ind w:left="709" w:firstLine="360"/>
        <w:jc w:val="both"/>
        <w:rPr>
          <w:rFonts w:ascii="Georgia" w:hAnsi="Georgia" w:cs="Arial"/>
          <w:sz w:val="22"/>
          <w:szCs w:val="22"/>
          <w:lang w:val="es-MX"/>
        </w:rPr>
      </w:pPr>
    </w:p>
    <w:p w14:paraId="3412D81B" w14:textId="77777777" w:rsidR="00F578C7" w:rsidRPr="0067026B" w:rsidRDefault="00F578C7" w:rsidP="003640DF">
      <w:pPr>
        <w:ind w:left="709"/>
        <w:jc w:val="both"/>
        <w:rPr>
          <w:rFonts w:ascii="Georgia" w:hAnsi="Georgia" w:cs="Arial"/>
          <w:sz w:val="22"/>
          <w:szCs w:val="22"/>
          <w:lang w:val="es-MX"/>
        </w:rPr>
      </w:pPr>
      <w:r w:rsidRPr="0067026B">
        <w:rPr>
          <w:rFonts w:ascii="Georgia" w:hAnsi="Georgia" w:cs="Arial"/>
          <w:sz w:val="22"/>
          <w:szCs w:val="22"/>
          <w:lang w:val="es-MX"/>
        </w:rPr>
        <w:t>Porcentaje de solicitudes recibidas de manera presencial</w:t>
      </w:r>
      <w:r w:rsidR="00E7254D" w:rsidRPr="00965E3C">
        <w:rPr>
          <w:rFonts w:ascii="Georgia" w:hAnsi="Georgia" w:cs="Arial"/>
          <w:sz w:val="22"/>
          <w:szCs w:val="22"/>
          <w:lang w:val="es-MX"/>
        </w:rPr>
        <w:t>*</w:t>
      </w:r>
      <w:r w:rsidRPr="00965E3C">
        <w:rPr>
          <w:rFonts w:ascii="Georgia" w:hAnsi="Georgia" w:cs="Arial"/>
          <w:sz w:val="22"/>
          <w:szCs w:val="22"/>
          <w:lang w:val="es-MX"/>
        </w:rPr>
        <w:t xml:space="preserve">: </w:t>
      </w:r>
      <w:r w:rsidR="00B74395" w:rsidRPr="00965E3C">
        <w:rPr>
          <w:rFonts w:ascii="Georgia" w:hAnsi="Georgia" w:cs="Arial"/>
          <w:b/>
          <w:sz w:val="22"/>
          <w:szCs w:val="22"/>
          <w:lang w:val="es-MX"/>
        </w:rPr>
        <w:t>0</w:t>
      </w:r>
      <w:r w:rsidR="00E56BA8" w:rsidRPr="00965E3C">
        <w:rPr>
          <w:rFonts w:ascii="Georgia" w:hAnsi="Georgia" w:cs="Arial"/>
          <w:b/>
          <w:sz w:val="22"/>
          <w:szCs w:val="22"/>
          <w:lang w:val="es-MX"/>
        </w:rPr>
        <w:t>%</w:t>
      </w:r>
    </w:p>
    <w:p w14:paraId="51F9587A" w14:textId="77777777" w:rsidR="00F578C7" w:rsidRPr="0067026B" w:rsidRDefault="00F578C7" w:rsidP="003640DF">
      <w:pPr>
        <w:ind w:left="709"/>
        <w:jc w:val="both"/>
        <w:rPr>
          <w:rFonts w:ascii="Georgia" w:hAnsi="Georgia" w:cs="Arial"/>
          <w:sz w:val="22"/>
          <w:szCs w:val="22"/>
          <w:lang w:val="es-MX"/>
        </w:rPr>
      </w:pPr>
    </w:p>
    <w:p w14:paraId="65C423E6" w14:textId="77777777" w:rsidR="00F578C7" w:rsidRDefault="00F578C7" w:rsidP="003640DF">
      <w:pPr>
        <w:ind w:left="709"/>
        <w:jc w:val="both"/>
        <w:rPr>
          <w:rFonts w:ascii="Georgia" w:hAnsi="Georgia" w:cs="Arial"/>
          <w:b/>
          <w:sz w:val="22"/>
          <w:szCs w:val="22"/>
          <w:lang w:val="es-MX"/>
        </w:rPr>
      </w:pPr>
      <w:r w:rsidRPr="0067026B">
        <w:rPr>
          <w:rFonts w:ascii="Georgia" w:hAnsi="Georgia" w:cs="Arial"/>
          <w:sz w:val="22"/>
          <w:szCs w:val="22"/>
          <w:lang w:val="es-MX"/>
        </w:rPr>
        <w:t>Porcentaje de solicitudes recibidas por medios electrónicos</w:t>
      </w:r>
      <w:r w:rsidRPr="00965E3C">
        <w:rPr>
          <w:rFonts w:ascii="Georgia" w:hAnsi="Georgia" w:cs="Arial"/>
          <w:sz w:val="22"/>
          <w:szCs w:val="22"/>
          <w:lang w:val="es-MX"/>
        </w:rPr>
        <w:t xml:space="preserve">: </w:t>
      </w:r>
      <w:r w:rsidR="007C2188" w:rsidRPr="00965E3C">
        <w:rPr>
          <w:rFonts w:ascii="Georgia" w:hAnsi="Georgia" w:cs="Arial"/>
          <w:b/>
          <w:sz w:val="22"/>
          <w:szCs w:val="22"/>
          <w:lang w:val="es-MX"/>
        </w:rPr>
        <w:t>100</w:t>
      </w:r>
      <w:r w:rsidR="00E56BA8" w:rsidRPr="00965E3C">
        <w:rPr>
          <w:rFonts w:ascii="Georgia" w:hAnsi="Georgia" w:cs="Arial"/>
          <w:b/>
          <w:sz w:val="22"/>
          <w:szCs w:val="22"/>
          <w:lang w:val="es-MX"/>
        </w:rPr>
        <w:t>%</w:t>
      </w:r>
    </w:p>
    <w:p w14:paraId="30A217C1" w14:textId="77777777" w:rsidR="00AD74BA" w:rsidRDefault="00AD74BA" w:rsidP="003640DF">
      <w:pPr>
        <w:ind w:left="709"/>
        <w:jc w:val="both"/>
        <w:rPr>
          <w:rFonts w:ascii="Georgia" w:hAnsi="Georgia" w:cs="Arial"/>
          <w:b/>
          <w:sz w:val="22"/>
          <w:szCs w:val="22"/>
          <w:lang w:val="es-MX"/>
        </w:rPr>
      </w:pPr>
    </w:p>
    <w:p w14:paraId="557621DA" w14:textId="77777777" w:rsidR="0001314E" w:rsidRPr="003640DF" w:rsidRDefault="0001314E" w:rsidP="003640DF">
      <w:pPr>
        <w:ind w:left="709"/>
        <w:jc w:val="both"/>
        <w:rPr>
          <w:rFonts w:ascii="Georgia" w:hAnsi="Georgia" w:cs="Arial"/>
          <w:sz w:val="22"/>
          <w:szCs w:val="22"/>
          <w:lang w:val="es-MX"/>
        </w:rPr>
      </w:pPr>
    </w:p>
    <w:p w14:paraId="2FFD80C3" w14:textId="77777777" w:rsidR="00F578C7" w:rsidRPr="00F578C7" w:rsidRDefault="00F578C7" w:rsidP="00F578C7">
      <w:pPr>
        <w:jc w:val="both"/>
        <w:rPr>
          <w:rFonts w:ascii="Arial" w:hAnsi="Arial" w:cs="Arial"/>
          <w:sz w:val="26"/>
          <w:szCs w:val="26"/>
          <w:lang w:val="es-MX"/>
        </w:rPr>
      </w:pPr>
    </w:p>
    <w:p w14:paraId="2B418724" w14:textId="77777777" w:rsidR="00F578C7" w:rsidRDefault="00720BCD" w:rsidP="00430FFF">
      <w:pPr>
        <w:ind w:left="708"/>
        <w:jc w:val="both"/>
        <w:rPr>
          <w:rFonts w:ascii="Arial" w:hAnsi="Arial" w:cs="Arial"/>
          <w:b/>
          <w:sz w:val="26"/>
          <w:szCs w:val="26"/>
          <w:lang w:val="es-MX"/>
        </w:rPr>
      </w:pPr>
      <w:r>
        <w:rPr>
          <w:noProof/>
        </w:rPr>
        <w:drawing>
          <wp:inline distT="0" distB="0" distL="0" distR="0" wp14:anchorId="657AC7C6" wp14:editId="324ED830">
            <wp:extent cx="5006340" cy="2046605"/>
            <wp:effectExtent l="0" t="0" r="0" b="0"/>
            <wp:docPr id="22" name="Gráfico 22">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EA42CD" w14:textId="77777777" w:rsidR="00744011" w:rsidRPr="00F578C7" w:rsidRDefault="00744011" w:rsidP="00430FFF">
      <w:pPr>
        <w:ind w:left="708"/>
        <w:jc w:val="both"/>
        <w:rPr>
          <w:rFonts w:ascii="Arial" w:hAnsi="Arial" w:cs="Arial"/>
          <w:b/>
          <w:sz w:val="26"/>
          <w:szCs w:val="26"/>
          <w:lang w:val="es-MX"/>
        </w:rPr>
      </w:pPr>
    </w:p>
    <w:p w14:paraId="35117A54" w14:textId="77777777" w:rsidR="00775B38" w:rsidRDefault="00775B38" w:rsidP="00E7254D">
      <w:pPr>
        <w:pStyle w:val="Lugaryfecha"/>
      </w:pPr>
    </w:p>
    <w:p w14:paraId="7A8EC9C5" w14:textId="77777777" w:rsidR="003640DF" w:rsidRDefault="003640DF" w:rsidP="00E7254D">
      <w:pPr>
        <w:pStyle w:val="Lugaryfecha"/>
      </w:pPr>
    </w:p>
    <w:p w14:paraId="52DF81ED" w14:textId="77777777" w:rsidR="00074291" w:rsidRPr="00AF038D" w:rsidRDefault="00E7254D" w:rsidP="00E7254D">
      <w:pPr>
        <w:pStyle w:val="Lugaryfecha"/>
      </w:pPr>
      <w:r>
        <w:t>*</w:t>
      </w:r>
      <w:r w:rsidR="00074291" w:rsidRPr="00AF038D">
        <w:t xml:space="preserve">De conformidad con </w:t>
      </w:r>
      <w:r w:rsidR="00C52C47">
        <w:t xml:space="preserve">lo establecido en los </w:t>
      </w:r>
      <w:r w:rsidR="00C52C47" w:rsidRPr="00C52C47">
        <w:t>Acuerdos 3/2020, 6/2020, 7/2020 y 10/2020, emitidos por el Pleno del Alto Tribunal, ante la emergencia sanitaria que se vive en el país</w:t>
      </w:r>
      <w:r w:rsidR="00AF038D" w:rsidRPr="00AF038D">
        <w:t xml:space="preserve">, </w:t>
      </w:r>
      <w:r w:rsidR="00AF038D">
        <w:t xml:space="preserve">esta </w:t>
      </w:r>
      <w:r w:rsidR="00AF038D" w:rsidRPr="00AF038D">
        <w:t xml:space="preserve">Suprema Corte </w:t>
      </w:r>
      <w:r w:rsidR="00AF038D">
        <w:t>ha</w:t>
      </w:r>
      <w:r w:rsidR="00771816">
        <w:t xml:space="preserve"> restringido los trámites presenciales e</w:t>
      </w:r>
      <w:r w:rsidR="00AF038D">
        <w:t xml:space="preserve"> implementado </w:t>
      </w:r>
      <w:r w:rsidR="00771816">
        <w:t>la gestión</w:t>
      </w:r>
      <w:r>
        <w:t xml:space="preserve"> de solicitudes electrónicas, así como un Sistema de Control de Acceso y Citas por Internet por contingencia sanitaria.</w:t>
      </w:r>
    </w:p>
    <w:p w14:paraId="63884892" w14:textId="77777777" w:rsidR="00074291" w:rsidRDefault="00074291" w:rsidP="00965E3C">
      <w:pPr>
        <w:pStyle w:val="Lugaryfecha"/>
        <w:ind w:left="0"/>
      </w:pPr>
    </w:p>
    <w:p w14:paraId="7E550352" w14:textId="77777777"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14:paraId="1E6D4B6A" w14:textId="77777777" w:rsidR="00574F2C" w:rsidRPr="00574F2C" w:rsidRDefault="00574F2C" w:rsidP="00574F2C">
      <w:pPr>
        <w:ind w:left="360"/>
        <w:jc w:val="both"/>
        <w:rPr>
          <w:rFonts w:asciiTheme="majorHAnsi" w:hAnsiTheme="majorHAnsi" w:cs="Arial"/>
          <w:b/>
          <w:sz w:val="22"/>
          <w:szCs w:val="26"/>
          <w:lang w:val="es-MX"/>
        </w:rPr>
      </w:pPr>
    </w:p>
    <w:p w14:paraId="61F2E744"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3E9EF9AA" w14:textId="77777777" w:rsidR="00574F2C" w:rsidRPr="00574F2C" w:rsidRDefault="00574F2C" w:rsidP="00574F2C">
      <w:pPr>
        <w:ind w:left="709"/>
        <w:jc w:val="both"/>
        <w:rPr>
          <w:rFonts w:asciiTheme="majorHAnsi" w:hAnsiTheme="majorHAnsi" w:cs="Arial"/>
          <w:sz w:val="22"/>
          <w:szCs w:val="26"/>
          <w:lang w:val="es-MX"/>
        </w:rPr>
      </w:pPr>
    </w:p>
    <w:p w14:paraId="73DCC00D"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76C0B5FE" w14:textId="77777777" w:rsidR="00574F2C" w:rsidRPr="00574F2C" w:rsidRDefault="00574F2C" w:rsidP="00574F2C">
      <w:pPr>
        <w:ind w:left="709" w:firstLine="360"/>
        <w:jc w:val="both"/>
        <w:rPr>
          <w:rFonts w:asciiTheme="majorHAnsi" w:hAnsiTheme="majorHAnsi" w:cs="Arial"/>
          <w:sz w:val="22"/>
          <w:szCs w:val="26"/>
          <w:lang w:val="es-MX"/>
        </w:rPr>
      </w:pPr>
    </w:p>
    <w:p w14:paraId="5A12DA77" w14:textId="77777777" w:rsidR="00574F2C" w:rsidRPr="00B5704B"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w:t>
      </w:r>
      <w:r w:rsidRPr="00B5704B">
        <w:rPr>
          <w:rFonts w:asciiTheme="majorHAnsi" w:hAnsiTheme="majorHAnsi" w:cs="Arial"/>
          <w:sz w:val="22"/>
          <w:szCs w:val="26"/>
          <w:lang w:val="es-MX"/>
        </w:rPr>
        <w:t xml:space="preserve">canalizaciones al Consejo de la Judicatura Federal respecto del total de </w:t>
      </w:r>
      <w:r w:rsidRPr="00771816">
        <w:rPr>
          <w:rFonts w:asciiTheme="majorHAnsi" w:hAnsiTheme="majorHAnsi" w:cs="Arial"/>
          <w:sz w:val="22"/>
          <w:szCs w:val="26"/>
          <w:lang w:val="es-MX"/>
        </w:rPr>
        <w:t xml:space="preserve">solicitudes: </w:t>
      </w:r>
      <w:r w:rsidR="00720BCD" w:rsidRPr="00771816">
        <w:rPr>
          <w:rFonts w:asciiTheme="majorHAnsi" w:hAnsiTheme="majorHAnsi" w:cs="Arial"/>
          <w:b/>
          <w:sz w:val="22"/>
          <w:szCs w:val="26"/>
          <w:lang w:val="es-MX"/>
        </w:rPr>
        <w:t>1,010</w:t>
      </w:r>
      <w:r w:rsidRPr="00771816">
        <w:rPr>
          <w:rFonts w:asciiTheme="majorHAnsi" w:hAnsiTheme="majorHAnsi" w:cs="Arial"/>
          <w:sz w:val="22"/>
          <w:szCs w:val="26"/>
          <w:lang w:val="es-MX"/>
        </w:rPr>
        <w:t>.</w:t>
      </w:r>
    </w:p>
    <w:p w14:paraId="2053F78D" w14:textId="77777777" w:rsidR="00574F2C" w:rsidRPr="00B5704B" w:rsidRDefault="00574F2C" w:rsidP="00574F2C">
      <w:pPr>
        <w:ind w:left="709"/>
        <w:jc w:val="both"/>
        <w:rPr>
          <w:rFonts w:asciiTheme="majorHAnsi" w:hAnsiTheme="majorHAnsi" w:cs="Arial"/>
          <w:sz w:val="22"/>
          <w:szCs w:val="26"/>
          <w:lang w:val="es-MX"/>
        </w:rPr>
      </w:pPr>
    </w:p>
    <w:p w14:paraId="504C9A6A" w14:textId="77777777" w:rsidR="00574F2C" w:rsidRPr="00574F2C" w:rsidRDefault="00574F2C" w:rsidP="00574F2C">
      <w:pPr>
        <w:ind w:left="709"/>
        <w:jc w:val="both"/>
        <w:rPr>
          <w:rFonts w:asciiTheme="majorHAnsi" w:hAnsiTheme="majorHAnsi" w:cs="Arial"/>
          <w:sz w:val="22"/>
          <w:szCs w:val="26"/>
          <w:lang w:val="es-MX"/>
        </w:rPr>
      </w:pPr>
      <w:r w:rsidRPr="00B5704B">
        <w:rPr>
          <w:rFonts w:asciiTheme="majorHAnsi" w:hAnsiTheme="majorHAnsi" w:cs="Arial"/>
          <w:sz w:val="22"/>
          <w:szCs w:val="26"/>
          <w:lang w:val="es-MX"/>
        </w:rPr>
        <w:t xml:space="preserve">Número de orientaciones respecto del total de </w:t>
      </w:r>
      <w:r w:rsidRPr="00771816">
        <w:rPr>
          <w:rFonts w:asciiTheme="majorHAnsi" w:hAnsiTheme="majorHAnsi" w:cs="Arial"/>
          <w:sz w:val="22"/>
          <w:szCs w:val="26"/>
          <w:lang w:val="es-MX"/>
        </w:rPr>
        <w:t xml:space="preserve">solicitudes: </w:t>
      </w:r>
      <w:r w:rsidR="001C262C" w:rsidRPr="00771816">
        <w:rPr>
          <w:rFonts w:asciiTheme="majorHAnsi" w:hAnsiTheme="majorHAnsi" w:cs="Arial"/>
          <w:b/>
          <w:sz w:val="22"/>
          <w:szCs w:val="26"/>
          <w:lang w:val="es-MX"/>
        </w:rPr>
        <w:t>8</w:t>
      </w:r>
      <w:r w:rsidR="003A2CEB" w:rsidRPr="00771816">
        <w:rPr>
          <w:rFonts w:asciiTheme="majorHAnsi" w:hAnsiTheme="majorHAnsi" w:cs="Arial"/>
          <w:b/>
          <w:sz w:val="22"/>
          <w:szCs w:val="26"/>
          <w:lang w:val="es-MX"/>
        </w:rPr>
        <w:t>3</w:t>
      </w:r>
      <w:r w:rsidRPr="00771816">
        <w:rPr>
          <w:rFonts w:asciiTheme="majorHAnsi" w:hAnsiTheme="majorHAnsi" w:cs="Arial"/>
          <w:sz w:val="22"/>
          <w:szCs w:val="26"/>
          <w:lang w:val="es-MX"/>
        </w:rPr>
        <w:t>.</w:t>
      </w:r>
    </w:p>
    <w:p w14:paraId="25CCA535" w14:textId="77777777" w:rsidR="00574F2C" w:rsidRDefault="00574F2C" w:rsidP="00574F2C">
      <w:pPr>
        <w:ind w:left="709"/>
        <w:jc w:val="both"/>
        <w:rPr>
          <w:rFonts w:asciiTheme="majorHAnsi" w:hAnsiTheme="majorHAnsi" w:cs="Arial"/>
          <w:sz w:val="22"/>
          <w:szCs w:val="26"/>
          <w:lang w:val="es-MX"/>
        </w:rPr>
      </w:pPr>
    </w:p>
    <w:p w14:paraId="36EAADC8" w14:textId="77777777" w:rsidR="00891F2E" w:rsidRPr="00574F2C" w:rsidRDefault="00891F2E" w:rsidP="00574F2C">
      <w:pPr>
        <w:ind w:left="709"/>
        <w:jc w:val="both"/>
        <w:rPr>
          <w:rFonts w:asciiTheme="majorHAnsi" w:hAnsiTheme="majorHAnsi" w:cs="Arial"/>
          <w:sz w:val="22"/>
          <w:szCs w:val="26"/>
          <w:lang w:val="es-MX"/>
        </w:rPr>
      </w:pPr>
    </w:p>
    <w:p w14:paraId="6419AF17" w14:textId="77777777" w:rsidR="00574F2C" w:rsidRDefault="00574F2C" w:rsidP="00574F2C">
      <w:pPr>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14:paraId="485EF29A" w14:textId="77777777" w:rsidR="003640DF" w:rsidRDefault="00720BCD" w:rsidP="00E7254D">
      <w:pPr>
        <w:pStyle w:val="Lugaryfecha"/>
        <w:rPr>
          <w:lang w:val="es-MX"/>
        </w:rPr>
      </w:pPr>
      <w:r>
        <w:rPr>
          <w:noProof/>
        </w:rPr>
        <w:drawing>
          <wp:inline distT="0" distB="0" distL="0" distR="0" wp14:anchorId="15C87A70" wp14:editId="470DDBBA">
            <wp:extent cx="5850890" cy="3279775"/>
            <wp:effectExtent l="0" t="0" r="0" b="0"/>
            <wp:docPr id="23" name="Gráfico 23">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8DD156" w14:textId="77777777" w:rsidR="00070C29" w:rsidRDefault="00070C29" w:rsidP="00E7254D">
      <w:pPr>
        <w:pStyle w:val="Lugaryfecha"/>
      </w:pPr>
    </w:p>
    <w:p w14:paraId="44A4D6D0" w14:textId="77777777" w:rsidR="00070C29" w:rsidRDefault="00070C29" w:rsidP="00E7254D">
      <w:pPr>
        <w:pStyle w:val="Lugaryfecha"/>
      </w:pPr>
    </w:p>
    <w:p w14:paraId="02D1CC19"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14:paraId="458F8917" w14:textId="77777777" w:rsidR="00574F2C" w:rsidRPr="00574F2C" w:rsidRDefault="00574F2C" w:rsidP="00574F2C">
      <w:pPr>
        <w:ind w:left="360"/>
        <w:jc w:val="both"/>
        <w:rPr>
          <w:rFonts w:asciiTheme="majorHAnsi" w:hAnsiTheme="majorHAnsi" w:cs="Arial"/>
          <w:sz w:val="22"/>
          <w:szCs w:val="26"/>
          <w:lang w:val="es-MX"/>
        </w:rPr>
      </w:pPr>
    </w:p>
    <w:p w14:paraId="2E8AFF11"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567F323"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14:paraId="1FE755E4"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14:paraId="08D6CCF2" w14:textId="77777777" w:rsidR="00574F2C" w:rsidRPr="00574F2C" w:rsidRDefault="00574F2C" w:rsidP="00C85EE0">
      <w:pPr>
        <w:tabs>
          <w:tab w:val="left" w:pos="709"/>
        </w:tabs>
        <w:ind w:left="709" w:firstLine="360"/>
        <w:jc w:val="both"/>
        <w:rPr>
          <w:rFonts w:asciiTheme="majorHAnsi" w:hAnsiTheme="majorHAnsi" w:cs="Arial"/>
          <w:sz w:val="22"/>
          <w:szCs w:val="26"/>
          <w:lang w:val="es-MX"/>
        </w:rPr>
      </w:pPr>
    </w:p>
    <w:p w14:paraId="33810D79" w14:textId="77777777" w:rsidR="00574F2C" w:rsidRPr="00EB70C7"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taje de solicitudes de información administrativa</w:t>
      </w:r>
      <w:r w:rsidRPr="00F463D7">
        <w:rPr>
          <w:rFonts w:asciiTheme="majorHAnsi" w:hAnsiTheme="majorHAnsi" w:cs="Arial"/>
          <w:sz w:val="22"/>
          <w:szCs w:val="26"/>
          <w:lang w:val="es-MX"/>
        </w:rPr>
        <w:t xml:space="preserve">: </w:t>
      </w:r>
      <w:r w:rsidR="000A4A7D" w:rsidRPr="00F463D7">
        <w:rPr>
          <w:rFonts w:asciiTheme="majorHAnsi" w:hAnsiTheme="majorHAnsi" w:cs="Arial"/>
          <w:b/>
          <w:sz w:val="22"/>
          <w:szCs w:val="26"/>
          <w:lang w:val="es-MX"/>
        </w:rPr>
        <w:t>28</w:t>
      </w:r>
      <w:r w:rsidR="003152AC" w:rsidRPr="00F463D7">
        <w:rPr>
          <w:rFonts w:asciiTheme="majorHAnsi" w:hAnsiTheme="majorHAnsi" w:cs="Arial"/>
          <w:b/>
          <w:sz w:val="22"/>
          <w:szCs w:val="26"/>
          <w:lang w:val="es-MX"/>
        </w:rPr>
        <w:t>.</w:t>
      </w:r>
      <w:r w:rsidR="000A4A7D" w:rsidRPr="00F463D7">
        <w:rPr>
          <w:rFonts w:asciiTheme="majorHAnsi" w:hAnsiTheme="majorHAnsi" w:cs="Arial"/>
          <w:b/>
          <w:sz w:val="22"/>
          <w:szCs w:val="26"/>
          <w:lang w:val="es-MX"/>
        </w:rPr>
        <w:t>88</w:t>
      </w:r>
      <w:r w:rsidR="00760761" w:rsidRPr="00F463D7">
        <w:rPr>
          <w:rFonts w:asciiTheme="majorHAnsi" w:hAnsiTheme="majorHAnsi" w:cs="Arial"/>
          <w:b/>
          <w:sz w:val="22"/>
          <w:szCs w:val="26"/>
          <w:lang w:val="es-MX"/>
        </w:rPr>
        <w:t>%</w:t>
      </w:r>
    </w:p>
    <w:p w14:paraId="78EE9F37" w14:textId="77777777" w:rsidR="00574F2C" w:rsidRPr="00EB70C7" w:rsidRDefault="00574F2C" w:rsidP="00C85EE0">
      <w:pPr>
        <w:tabs>
          <w:tab w:val="left" w:pos="709"/>
        </w:tabs>
        <w:ind w:left="709"/>
        <w:jc w:val="both"/>
        <w:rPr>
          <w:rFonts w:asciiTheme="majorHAnsi" w:hAnsiTheme="majorHAnsi" w:cs="Arial"/>
          <w:sz w:val="22"/>
          <w:szCs w:val="26"/>
          <w:lang w:val="es-MX"/>
        </w:rPr>
      </w:pPr>
    </w:p>
    <w:p w14:paraId="755EED06"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EB70C7">
        <w:rPr>
          <w:rFonts w:asciiTheme="majorHAnsi" w:hAnsiTheme="majorHAnsi" w:cs="Arial"/>
          <w:sz w:val="22"/>
          <w:szCs w:val="26"/>
          <w:lang w:val="es-MX"/>
        </w:rPr>
        <w:t xml:space="preserve">Porcentaje de solicitudes de información </w:t>
      </w:r>
      <w:r w:rsidRPr="00F463D7">
        <w:rPr>
          <w:rFonts w:asciiTheme="majorHAnsi" w:hAnsiTheme="majorHAnsi" w:cs="Arial"/>
          <w:sz w:val="22"/>
          <w:szCs w:val="26"/>
          <w:lang w:val="es-MX"/>
        </w:rPr>
        <w:t xml:space="preserve">jurisdiccional: </w:t>
      </w:r>
      <w:r w:rsidR="000A4A7D" w:rsidRPr="00F463D7">
        <w:rPr>
          <w:rFonts w:asciiTheme="majorHAnsi" w:hAnsiTheme="majorHAnsi" w:cs="Arial"/>
          <w:b/>
          <w:sz w:val="22"/>
          <w:szCs w:val="26"/>
          <w:lang w:val="es-MX"/>
        </w:rPr>
        <w:t>71</w:t>
      </w:r>
      <w:r w:rsidR="00887DA0" w:rsidRPr="00F463D7">
        <w:rPr>
          <w:rFonts w:asciiTheme="majorHAnsi" w:hAnsiTheme="majorHAnsi" w:cs="Arial"/>
          <w:b/>
          <w:sz w:val="22"/>
          <w:szCs w:val="26"/>
          <w:lang w:val="es-MX"/>
        </w:rPr>
        <w:t>.</w:t>
      </w:r>
      <w:r w:rsidR="000A4A7D" w:rsidRPr="00F463D7">
        <w:rPr>
          <w:rFonts w:asciiTheme="majorHAnsi" w:hAnsiTheme="majorHAnsi" w:cs="Arial"/>
          <w:b/>
          <w:sz w:val="22"/>
          <w:szCs w:val="26"/>
          <w:lang w:val="es-MX"/>
        </w:rPr>
        <w:t>12</w:t>
      </w:r>
      <w:r w:rsidR="00760761" w:rsidRPr="00F463D7">
        <w:rPr>
          <w:rFonts w:asciiTheme="majorHAnsi" w:hAnsiTheme="majorHAnsi" w:cs="Arial"/>
          <w:b/>
          <w:sz w:val="22"/>
          <w:szCs w:val="26"/>
          <w:lang w:val="es-MX"/>
        </w:rPr>
        <w:t>%</w:t>
      </w:r>
    </w:p>
    <w:p w14:paraId="55B7FCAF" w14:textId="77777777" w:rsidR="00574F2C" w:rsidRPr="00574F2C" w:rsidRDefault="00574F2C" w:rsidP="00C85EE0">
      <w:pPr>
        <w:tabs>
          <w:tab w:val="left" w:pos="709"/>
        </w:tabs>
        <w:ind w:left="709"/>
        <w:jc w:val="both"/>
        <w:rPr>
          <w:rFonts w:asciiTheme="majorHAnsi" w:hAnsiTheme="majorHAnsi" w:cs="Arial"/>
          <w:b/>
          <w:sz w:val="22"/>
          <w:szCs w:val="26"/>
          <w:lang w:val="es-MX"/>
        </w:rPr>
      </w:pPr>
    </w:p>
    <w:p w14:paraId="0E65A902" w14:textId="77777777" w:rsidR="00574F2C" w:rsidRPr="00574F2C" w:rsidRDefault="00574F2C" w:rsidP="00C85EE0">
      <w:pPr>
        <w:tabs>
          <w:tab w:val="left" w:pos="709"/>
        </w:tabs>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14:paraId="6D1166A0" w14:textId="77777777" w:rsidR="00B019C0" w:rsidRDefault="00B019C0" w:rsidP="00E7254D">
      <w:pPr>
        <w:pStyle w:val="Lugaryfecha"/>
        <w:rPr>
          <w:noProof/>
        </w:rPr>
      </w:pPr>
    </w:p>
    <w:p w14:paraId="4F9AEB1B" w14:textId="77777777" w:rsidR="00B019C0" w:rsidRDefault="000A4A7D" w:rsidP="00965E3C">
      <w:pPr>
        <w:pStyle w:val="Lugaryfecha"/>
        <w:rPr>
          <w:lang w:val="es-MX"/>
        </w:rPr>
      </w:pPr>
      <w:r>
        <w:rPr>
          <w:noProof/>
        </w:rPr>
        <w:drawing>
          <wp:inline distT="0" distB="0" distL="0" distR="0" wp14:anchorId="79B33B85" wp14:editId="6BFF4C0F">
            <wp:extent cx="4991769" cy="2908458"/>
            <wp:effectExtent l="0" t="0" r="0" b="0"/>
            <wp:docPr id="24" name="Gráfico 24">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3A42B4" w14:textId="77777777" w:rsidR="00965E3C" w:rsidRPr="00965E3C" w:rsidRDefault="00965E3C" w:rsidP="00965E3C">
      <w:pPr>
        <w:pStyle w:val="Lugaryfecha"/>
        <w:rPr>
          <w:lang w:val="es-MX"/>
        </w:rPr>
      </w:pPr>
    </w:p>
    <w:p w14:paraId="271DA957"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14:paraId="37F6400E" w14:textId="77777777" w:rsidR="00574F2C" w:rsidRPr="00574F2C" w:rsidRDefault="00574F2C" w:rsidP="00574F2C">
      <w:pPr>
        <w:ind w:left="360"/>
        <w:jc w:val="both"/>
        <w:rPr>
          <w:rFonts w:asciiTheme="majorHAnsi" w:hAnsiTheme="majorHAnsi" w:cs="Arial"/>
          <w:b/>
          <w:sz w:val="22"/>
          <w:szCs w:val="26"/>
          <w:lang w:val="es-MX"/>
        </w:rPr>
      </w:pPr>
    </w:p>
    <w:p w14:paraId="7D041D91"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14:paraId="21EF44A1" w14:textId="77777777" w:rsidR="00574F2C" w:rsidRPr="00574F2C" w:rsidRDefault="00574F2C" w:rsidP="00574F2C">
      <w:pPr>
        <w:ind w:left="709"/>
        <w:jc w:val="both"/>
        <w:rPr>
          <w:rFonts w:asciiTheme="majorHAnsi" w:hAnsiTheme="majorHAnsi" w:cs="Arial"/>
          <w:b/>
          <w:sz w:val="22"/>
          <w:szCs w:val="26"/>
          <w:lang w:val="es-MX"/>
        </w:rPr>
      </w:pPr>
    </w:p>
    <w:p w14:paraId="73289F30"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786FF84F" w14:textId="77777777" w:rsidR="00574F2C" w:rsidRPr="00574F2C" w:rsidRDefault="00574F2C" w:rsidP="00574F2C">
      <w:pPr>
        <w:ind w:left="709" w:firstLine="360"/>
        <w:jc w:val="both"/>
        <w:rPr>
          <w:rFonts w:asciiTheme="majorHAnsi" w:hAnsiTheme="majorHAnsi" w:cs="Arial"/>
          <w:sz w:val="22"/>
          <w:szCs w:val="26"/>
          <w:lang w:val="es-MX"/>
        </w:rPr>
      </w:pPr>
    </w:p>
    <w:p w14:paraId="7A95E2E9"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F463D7">
        <w:rPr>
          <w:rFonts w:asciiTheme="majorHAnsi" w:hAnsiTheme="majorHAnsi" w:cs="Arial"/>
          <w:sz w:val="22"/>
          <w:szCs w:val="26"/>
          <w:lang w:val="es-MX"/>
        </w:rPr>
        <w:t xml:space="preserve">: </w:t>
      </w:r>
      <w:r w:rsidR="00542D12" w:rsidRPr="00F463D7">
        <w:rPr>
          <w:rFonts w:asciiTheme="majorHAnsi" w:hAnsiTheme="majorHAnsi" w:cs="Arial"/>
          <w:b/>
          <w:sz w:val="22"/>
          <w:szCs w:val="26"/>
          <w:lang w:val="es-MX"/>
        </w:rPr>
        <w:t>1</w:t>
      </w:r>
      <w:r w:rsidR="00902B96" w:rsidRPr="00F463D7">
        <w:rPr>
          <w:rFonts w:asciiTheme="majorHAnsi" w:hAnsiTheme="majorHAnsi" w:cs="Arial"/>
          <w:b/>
          <w:sz w:val="22"/>
          <w:szCs w:val="26"/>
          <w:lang w:val="es-MX"/>
        </w:rPr>
        <w:t>2</w:t>
      </w:r>
      <w:r w:rsidR="00542D12" w:rsidRPr="00F463D7">
        <w:rPr>
          <w:rFonts w:asciiTheme="majorHAnsi" w:hAnsiTheme="majorHAnsi" w:cs="Arial"/>
          <w:b/>
          <w:sz w:val="22"/>
          <w:szCs w:val="26"/>
          <w:lang w:val="es-MX"/>
        </w:rPr>
        <w:t>.</w:t>
      </w:r>
      <w:r w:rsidR="00902B96" w:rsidRPr="00F463D7">
        <w:rPr>
          <w:rFonts w:asciiTheme="majorHAnsi" w:hAnsiTheme="majorHAnsi" w:cs="Arial"/>
          <w:b/>
          <w:sz w:val="22"/>
          <w:szCs w:val="26"/>
          <w:lang w:val="es-MX"/>
        </w:rPr>
        <w:t>93</w:t>
      </w:r>
      <w:r w:rsidR="003F64FF" w:rsidRPr="00F463D7">
        <w:rPr>
          <w:rFonts w:asciiTheme="majorHAnsi" w:hAnsiTheme="majorHAnsi" w:cs="Arial"/>
          <w:b/>
          <w:sz w:val="22"/>
          <w:szCs w:val="26"/>
          <w:lang w:val="es-MX"/>
        </w:rPr>
        <w:t>%</w:t>
      </w:r>
    </w:p>
    <w:p w14:paraId="632EFA5B" w14:textId="77777777" w:rsidR="00574F2C" w:rsidRPr="00574F2C" w:rsidRDefault="00574F2C" w:rsidP="00574F2C">
      <w:pPr>
        <w:ind w:left="709"/>
        <w:jc w:val="both"/>
        <w:rPr>
          <w:rFonts w:asciiTheme="majorHAnsi" w:hAnsiTheme="majorHAnsi" w:cs="Arial"/>
          <w:sz w:val="22"/>
          <w:szCs w:val="26"/>
          <w:lang w:val="es-MX"/>
        </w:rPr>
      </w:pPr>
    </w:p>
    <w:p w14:paraId="1C475CB0" w14:textId="77777777" w:rsidR="00574F2C" w:rsidRDefault="00B019C0" w:rsidP="00574F2C">
      <w:pPr>
        <w:ind w:left="709"/>
        <w:jc w:val="both"/>
        <w:rPr>
          <w:rFonts w:asciiTheme="majorHAnsi" w:hAnsiTheme="majorHAnsi" w:cs="Arial"/>
          <w:b/>
          <w:sz w:val="22"/>
          <w:szCs w:val="26"/>
        </w:rPr>
      </w:pPr>
      <w:proofErr w:type="spellStart"/>
      <w:r>
        <w:rPr>
          <w:rFonts w:asciiTheme="majorHAnsi" w:hAnsiTheme="majorHAnsi" w:cs="Arial"/>
          <w:b/>
          <w:sz w:val="22"/>
          <w:szCs w:val="26"/>
        </w:rPr>
        <w:t>G</w:t>
      </w:r>
      <w:r w:rsidR="00574F2C" w:rsidRPr="00574F2C">
        <w:rPr>
          <w:rFonts w:asciiTheme="majorHAnsi" w:hAnsiTheme="majorHAnsi" w:cs="Arial"/>
          <w:b/>
          <w:sz w:val="22"/>
          <w:szCs w:val="26"/>
        </w:rPr>
        <w:t>ráfica</w:t>
      </w:r>
      <w:proofErr w:type="spellEnd"/>
      <w:r w:rsidR="00574F2C" w:rsidRPr="00574F2C">
        <w:rPr>
          <w:rFonts w:asciiTheme="majorHAnsi" w:hAnsiTheme="majorHAnsi" w:cs="Arial"/>
          <w:b/>
          <w:sz w:val="22"/>
          <w:szCs w:val="26"/>
        </w:rPr>
        <w:t>:</w:t>
      </w:r>
    </w:p>
    <w:p w14:paraId="78BB876D" w14:textId="77777777" w:rsidR="00500076" w:rsidRDefault="00500076" w:rsidP="00574F2C">
      <w:pPr>
        <w:ind w:left="709"/>
        <w:jc w:val="both"/>
        <w:rPr>
          <w:rFonts w:asciiTheme="majorHAnsi" w:hAnsiTheme="majorHAnsi" w:cs="Arial"/>
          <w:b/>
          <w:sz w:val="22"/>
          <w:szCs w:val="26"/>
        </w:rPr>
      </w:pPr>
    </w:p>
    <w:p w14:paraId="4D476957" w14:textId="77777777" w:rsidR="00B019C0" w:rsidRDefault="00B019C0" w:rsidP="00574F2C">
      <w:pPr>
        <w:ind w:left="709"/>
        <w:jc w:val="both"/>
        <w:rPr>
          <w:rFonts w:asciiTheme="majorHAnsi" w:hAnsiTheme="majorHAnsi" w:cs="Arial"/>
          <w:b/>
          <w:sz w:val="22"/>
          <w:szCs w:val="26"/>
        </w:rPr>
      </w:pPr>
    </w:p>
    <w:p w14:paraId="47A11B7A" w14:textId="77777777" w:rsidR="00B019C0" w:rsidRPr="00574F2C" w:rsidRDefault="00902B96" w:rsidP="00E7254D">
      <w:pPr>
        <w:pStyle w:val="Lugaryfecha"/>
        <w:rPr>
          <w:rFonts w:asciiTheme="majorHAnsi" w:hAnsiTheme="majorHAnsi" w:cs="Arial"/>
          <w:sz w:val="22"/>
          <w:szCs w:val="26"/>
        </w:rPr>
      </w:pPr>
      <w:r>
        <w:rPr>
          <w:noProof/>
        </w:rPr>
        <w:drawing>
          <wp:inline distT="0" distB="0" distL="0" distR="0" wp14:anchorId="3C15C746" wp14:editId="2A8A8A98">
            <wp:extent cx="4431506" cy="2985284"/>
            <wp:effectExtent l="0" t="0" r="7620" b="0"/>
            <wp:docPr id="25" name="Gráfico 25">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A7EE3E" w14:textId="77777777" w:rsidR="003640DF" w:rsidRPr="004C4F9A" w:rsidRDefault="003640DF" w:rsidP="00E7254D">
      <w:pPr>
        <w:pStyle w:val="Lugaryfecha"/>
      </w:pPr>
    </w:p>
    <w:p w14:paraId="676B689C" w14:textId="77777777"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14:paraId="1E990955" w14:textId="77777777"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14:paraId="7007C17E" w14:textId="77777777" w:rsidR="00574F2C" w:rsidRDefault="00574F2C" w:rsidP="00574F2C">
      <w:pPr>
        <w:ind w:left="360"/>
        <w:jc w:val="both"/>
        <w:rPr>
          <w:rFonts w:asciiTheme="majorHAnsi" w:hAnsiTheme="majorHAnsi" w:cs="Arial"/>
          <w:b/>
          <w:sz w:val="22"/>
          <w:szCs w:val="22"/>
          <w:lang w:val="es-MX"/>
        </w:rPr>
      </w:pPr>
    </w:p>
    <w:p w14:paraId="7496E0C7" w14:textId="77777777" w:rsidR="00574F2C" w:rsidRPr="00574F2C" w:rsidRDefault="00574F2C" w:rsidP="00574F2C">
      <w:pPr>
        <w:ind w:left="360"/>
        <w:jc w:val="both"/>
        <w:rPr>
          <w:rFonts w:asciiTheme="majorHAnsi" w:hAnsiTheme="majorHAnsi" w:cs="Arial"/>
          <w:b/>
          <w:sz w:val="22"/>
          <w:szCs w:val="22"/>
          <w:lang w:val="es-MX"/>
        </w:rPr>
      </w:pPr>
    </w:p>
    <w:p w14:paraId="5B3A229C"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14:paraId="604E9F4D" w14:textId="77777777"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14:paraId="434224A4"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14:paraId="5B846EFC" w14:textId="77777777" w:rsidR="00574F2C" w:rsidRPr="00574F2C" w:rsidRDefault="00574F2C" w:rsidP="00574F2C">
      <w:pPr>
        <w:ind w:left="709" w:firstLine="360"/>
        <w:jc w:val="both"/>
        <w:rPr>
          <w:rFonts w:asciiTheme="majorHAnsi" w:hAnsiTheme="majorHAnsi" w:cs="Arial"/>
          <w:sz w:val="22"/>
          <w:szCs w:val="22"/>
          <w:lang w:val="es-MX"/>
        </w:rPr>
      </w:pPr>
    </w:p>
    <w:p w14:paraId="02A2975C" w14:textId="77777777"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814770">
        <w:rPr>
          <w:rFonts w:asciiTheme="majorHAnsi" w:hAnsiTheme="majorHAnsi" w:cs="Arial"/>
          <w:sz w:val="22"/>
          <w:szCs w:val="22"/>
          <w:lang w:val="es-MX"/>
        </w:rPr>
        <w:t>Transparencia</w:t>
      </w:r>
      <w:r w:rsidRPr="00EB70C7">
        <w:rPr>
          <w:rFonts w:asciiTheme="majorHAnsi" w:hAnsiTheme="majorHAnsi" w:cs="Arial"/>
          <w:sz w:val="22"/>
          <w:szCs w:val="22"/>
          <w:lang w:val="es-MX"/>
        </w:rPr>
        <w:t xml:space="preserve">: </w:t>
      </w:r>
      <w:r w:rsidR="0046796E">
        <w:rPr>
          <w:rFonts w:asciiTheme="majorHAnsi" w:hAnsiTheme="majorHAnsi" w:cs="Arial"/>
          <w:b/>
          <w:sz w:val="22"/>
          <w:szCs w:val="22"/>
          <w:lang w:val="es-MX"/>
        </w:rPr>
        <w:t>0</w:t>
      </w:r>
      <w:r w:rsidRPr="00EB70C7">
        <w:rPr>
          <w:rFonts w:asciiTheme="majorHAnsi" w:hAnsiTheme="majorHAnsi" w:cs="Arial"/>
          <w:b/>
          <w:sz w:val="22"/>
          <w:szCs w:val="22"/>
          <w:lang w:val="es-MX"/>
        </w:rPr>
        <w:t>.</w:t>
      </w:r>
    </w:p>
    <w:p w14:paraId="329567C9" w14:textId="77777777" w:rsidR="00574F2C" w:rsidRPr="00574F2C" w:rsidRDefault="00574F2C" w:rsidP="00574F2C">
      <w:pPr>
        <w:ind w:left="709"/>
        <w:jc w:val="both"/>
        <w:rPr>
          <w:rFonts w:asciiTheme="majorHAnsi" w:hAnsiTheme="majorHAnsi" w:cs="Arial"/>
          <w:sz w:val="22"/>
          <w:szCs w:val="22"/>
          <w:lang w:val="es-MX"/>
        </w:rPr>
      </w:pPr>
    </w:p>
    <w:p w14:paraId="28BB48D0" w14:textId="77777777" w:rsidR="00574F2C" w:rsidRPr="00574F2C" w:rsidRDefault="00574F2C" w:rsidP="00574F2C">
      <w:pPr>
        <w:ind w:left="709"/>
        <w:jc w:val="both"/>
        <w:rPr>
          <w:rFonts w:asciiTheme="majorHAnsi" w:hAnsiTheme="majorHAnsi" w:cs="Arial"/>
          <w:b/>
          <w:sz w:val="22"/>
          <w:szCs w:val="22"/>
        </w:rPr>
      </w:pPr>
      <w:proofErr w:type="spellStart"/>
      <w:r w:rsidRPr="00574F2C">
        <w:rPr>
          <w:rFonts w:asciiTheme="majorHAnsi" w:hAnsiTheme="majorHAnsi" w:cs="Arial"/>
          <w:b/>
          <w:sz w:val="22"/>
          <w:szCs w:val="22"/>
        </w:rPr>
        <w:t>Gráfica</w:t>
      </w:r>
      <w:proofErr w:type="spellEnd"/>
      <w:r w:rsidRPr="00574F2C">
        <w:rPr>
          <w:rFonts w:asciiTheme="majorHAnsi" w:hAnsiTheme="majorHAnsi" w:cs="Arial"/>
          <w:b/>
          <w:sz w:val="22"/>
          <w:szCs w:val="22"/>
        </w:rPr>
        <w:t>:</w:t>
      </w:r>
      <w:r w:rsidRPr="00574F2C">
        <w:rPr>
          <w:rFonts w:asciiTheme="majorHAnsi" w:hAnsiTheme="majorHAnsi" w:cs="Arial"/>
          <w:sz w:val="22"/>
          <w:szCs w:val="22"/>
        </w:rPr>
        <w:t xml:space="preserve"> </w:t>
      </w:r>
    </w:p>
    <w:p w14:paraId="33E52649" w14:textId="77777777" w:rsidR="00D75B31" w:rsidRDefault="00D75B31" w:rsidP="00574F2C">
      <w:pPr>
        <w:ind w:left="360"/>
        <w:jc w:val="both"/>
        <w:rPr>
          <w:rFonts w:ascii="Arial" w:hAnsi="Arial" w:cs="Arial"/>
          <w:sz w:val="26"/>
          <w:szCs w:val="26"/>
        </w:rPr>
      </w:pPr>
    </w:p>
    <w:p w14:paraId="78FA865F" w14:textId="77777777" w:rsidR="00893C1E" w:rsidRPr="003B2A36" w:rsidRDefault="00893C1E" w:rsidP="00574F2C">
      <w:pPr>
        <w:ind w:left="360"/>
        <w:jc w:val="both"/>
        <w:rPr>
          <w:rFonts w:ascii="Arial" w:hAnsi="Arial" w:cs="Arial"/>
          <w:sz w:val="26"/>
          <w:szCs w:val="26"/>
        </w:rPr>
      </w:pPr>
    </w:p>
    <w:p w14:paraId="3E01F222" w14:textId="77777777" w:rsidR="003640DF" w:rsidRDefault="0046796E" w:rsidP="00E7254D">
      <w:pPr>
        <w:pStyle w:val="Lugaryfecha"/>
        <w:rPr>
          <w:lang w:val="es-MX"/>
        </w:rPr>
      </w:pPr>
      <w:r>
        <w:rPr>
          <w:noProof/>
        </w:rPr>
        <w:drawing>
          <wp:inline distT="0" distB="0" distL="0" distR="0" wp14:anchorId="1FF3AB9C" wp14:editId="620B3099">
            <wp:extent cx="5690235" cy="3007995"/>
            <wp:effectExtent l="0" t="0" r="0" b="0"/>
            <wp:docPr id="26" name="Gráfico 26">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B2D37F" w14:textId="77777777"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14:paraId="4668A479" w14:textId="77777777"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proofErr w:type="gramStart"/>
      <w:r w:rsidR="00BC558E">
        <w:rPr>
          <w:rFonts w:ascii="Georgia" w:hAnsi="Georgia" w:cs="Arial"/>
          <w:b/>
          <w:sz w:val="22"/>
          <w:szCs w:val="22"/>
        </w:rPr>
        <w:t>Abril</w:t>
      </w:r>
      <w:proofErr w:type="gramEnd"/>
      <w:r w:rsidR="00DF376F">
        <w:rPr>
          <w:rFonts w:ascii="Georgia" w:hAnsi="Georgia" w:cs="Arial"/>
          <w:b/>
          <w:sz w:val="22"/>
          <w:szCs w:val="22"/>
        </w:rPr>
        <w:t xml:space="preserve"> a </w:t>
      </w:r>
      <w:r w:rsidR="00BC558E">
        <w:rPr>
          <w:rFonts w:ascii="Georgia" w:hAnsi="Georgia" w:cs="Arial"/>
          <w:b/>
          <w:sz w:val="22"/>
          <w:szCs w:val="22"/>
        </w:rPr>
        <w:t>Juni</w:t>
      </w:r>
      <w:r w:rsidR="005761C7">
        <w:rPr>
          <w:rFonts w:ascii="Georgia" w:hAnsi="Georgia" w:cs="Arial"/>
          <w:b/>
          <w:sz w:val="22"/>
          <w:szCs w:val="22"/>
        </w:rPr>
        <w:t>o</w:t>
      </w:r>
      <w:r w:rsidR="001F41D0">
        <w:rPr>
          <w:rFonts w:ascii="Georgia" w:hAnsi="Georgia" w:cs="Arial"/>
          <w:b/>
          <w:sz w:val="22"/>
          <w:szCs w:val="22"/>
        </w:rPr>
        <w:t xml:space="preserve"> de 20</w:t>
      </w:r>
      <w:r w:rsidR="005761C7">
        <w:rPr>
          <w:rFonts w:ascii="Georgia" w:hAnsi="Georgia" w:cs="Arial"/>
          <w:b/>
          <w:sz w:val="22"/>
          <w:szCs w:val="22"/>
        </w:rPr>
        <w:t>20</w:t>
      </w:r>
      <w:r w:rsidR="0077794B">
        <w:rPr>
          <w:rFonts w:ascii="Georgia" w:hAnsi="Georgia" w:cs="Arial"/>
          <w:b/>
          <w:sz w:val="22"/>
          <w:szCs w:val="22"/>
        </w:rPr>
        <w:t>.</w:t>
      </w:r>
    </w:p>
    <w:p w14:paraId="377AA12E" w14:textId="77777777" w:rsidR="008068C9" w:rsidRPr="008068C9" w:rsidRDefault="008068C9" w:rsidP="008068C9">
      <w:pPr>
        <w:ind w:left="720"/>
        <w:jc w:val="both"/>
        <w:rPr>
          <w:rFonts w:ascii="Georgia" w:hAnsi="Georgia" w:cs="Arial"/>
          <w:sz w:val="22"/>
          <w:szCs w:val="22"/>
          <w:lang w:val="es-MX"/>
        </w:rPr>
      </w:pPr>
    </w:p>
    <w:p w14:paraId="768638C6" w14:textId="77777777" w:rsidR="00BA6373" w:rsidRPr="00F463D7"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044B52">
        <w:rPr>
          <w:rFonts w:ascii="Georgia" w:hAnsi="Georgia" w:cs="Arial"/>
          <w:sz w:val="22"/>
          <w:szCs w:val="22"/>
        </w:rPr>
        <w:t>Total</w:t>
      </w:r>
      <w:proofErr w:type="gramEnd"/>
      <w:r w:rsidRPr="00044B52">
        <w:rPr>
          <w:rFonts w:ascii="Georgia" w:hAnsi="Georgia" w:cs="Arial"/>
          <w:sz w:val="22"/>
          <w:szCs w:val="22"/>
        </w:rPr>
        <w:t xml:space="preserve"> de solicitudes de información recibidas</w:t>
      </w:r>
      <w:r w:rsidRPr="00F463D7">
        <w:rPr>
          <w:rFonts w:ascii="Georgia" w:hAnsi="Georgia" w:cs="Arial"/>
          <w:sz w:val="22"/>
          <w:szCs w:val="22"/>
        </w:rPr>
        <w:t xml:space="preserve">: </w:t>
      </w:r>
      <w:r w:rsidR="007652BC" w:rsidRPr="00F463D7">
        <w:rPr>
          <w:rFonts w:ascii="Georgia" w:hAnsi="Georgia" w:cs="Arial"/>
          <w:sz w:val="22"/>
          <w:szCs w:val="22"/>
        </w:rPr>
        <w:t>5</w:t>
      </w:r>
      <w:r w:rsidRPr="00F463D7">
        <w:rPr>
          <w:rFonts w:ascii="Georgia" w:hAnsi="Georgia" w:cs="Arial"/>
          <w:sz w:val="22"/>
          <w:szCs w:val="22"/>
        </w:rPr>
        <w:t>,</w:t>
      </w:r>
      <w:r w:rsidR="003C6D01" w:rsidRPr="00F463D7">
        <w:rPr>
          <w:rFonts w:ascii="Georgia" w:hAnsi="Georgia" w:cs="Arial"/>
          <w:sz w:val="22"/>
          <w:szCs w:val="22"/>
        </w:rPr>
        <w:t>4</w:t>
      </w:r>
      <w:r w:rsidR="007652BC" w:rsidRPr="00F463D7">
        <w:rPr>
          <w:rFonts w:ascii="Georgia" w:hAnsi="Georgia" w:cs="Arial"/>
          <w:sz w:val="22"/>
          <w:szCs w:val="22"/>
        </w:rPr>
        <w:t>30</w:t>
      </w:r>
      <w:r w:rsidRPr="00F463D7">
        <w:rPr>
          <w:rFonts w:ascii="Georgia" w:hAnsi="Georgia" w:cs="Arial"/>
          <w:sz w:val="22"/>
          <w:szCs w:val="22"/>
        </w:rPr>
        <w:t>.</w:t>
      </w:r>
    </w:p>
    <w:p w14:paraId="163D06AF" w14:textId="77777777" w:rsidR="00BA6373" w:rsidRPr="0054545C" w:rsidRDefault="00BA6373" w:rsidP="00BA6373">
      <w:pPr>
        <w:ind w:left="1134"/>
        <w:jc w:val="both"/>
        <w:rPr>
          <w:rFonts w:ascii="Georgia" w:hAnsi="Georgia" w:cs="Arial"/>
          <w:sz w:val="22"/>
          <w:szCs w:val="22"/>
          <w:lang w:val="es-MX"/>
        </w:rPr>
      </w:pPr>
    </w:p>
    <w:p w14:paraId="3E3619B4" w14:textId="77777777" w:rsidR="00BA6373" w:rsidRPr="00F463D7"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F463D7">
        <w:rPr>
          <w:rFonts w:ascii="Georgia" w:hAnsi="Georgia" w:cs="Arial"/>
          <w:sz w:val="22"/>
          <w:szCs w:val="22"/>
        </w:rPr>
        <w:t>Tota</w:t>
      </w:r>
      <w:r w:rsidR="00C5521F" w:rsidRPr="00F463D7">
        <w:rPr>
          <w:rFonts w:ascii="Georgia" w:hAnsi="Georgia" w:cs="Arial"/>
          <w:sz w:val="22"/>
          <w:szCs w:val="22"/>
        </w:rPr>
        <w:t>l</w:t>
      </w:r>
      <w:proofErr w:type="gramEnd"/>
      <w:r w:rsidR="00C5521F" w:rsidRPr="00F463D7">
        <w:rPr>
          <w:rFonts w:ascii="Georgia" w:hAnsi="Georgia" w:cs="Arial"/>
          <w:sz w:val="22"/>
          <w:szCs w:val="22"/>
        </w:rPr>
        <w:t xml:space="preserve"> de solicitudes en trámite</w:t>
      </w:r>
      <w:r w:rsidR="009E4996" w:rsidRPr="00F463D7">
        <w:rPr>
          <w:rFonts w:ascii="Georgia" w:hAnsi="Georgia" w:cs="Arial"/>
          <w:sz w:val="22"/>
          <w:szCs w:val="22"/>
        </w:rPr>
        <w:t xml:space="preserve">: </w:t>
      </w:r>
      <w:r w:rsidR="00B11EF1" w:rsidRPr="00F463D7">
        <w:rPr>
          <w:rFonts w:ascii="Georgia" w:hAnsi="Georgia" w:cs="Arial"/>
          <w:sz w:val="22"/>
          <w:szCs w:val="22"/>
        </w:rPr>
        <w:t>73</w:t>
      </w:r>
      <w:r w:rsidRPr="00F463D7">
        <w:rPr>
          <w:rFonts w:ascii="Georgia" w:hAnsi="Georgia" w:cs="Arial"/>
          <w:sz w:val="22"/>
          <w:szCs w:val="22"/>
        </w:rPr>
        <w:t>.</w:t>
      </w:r>
    </w:p>
    <w:p w14:paraId="3C84D5B9" w14:textId="77777777" w:rsidR="00BA6373" w:rsidRPr="0054545C" w:rsidRDefault="00BA6373" w:rsidP="00BA6373">
      <w:pPr>
        <w:pStyle w:val="Prrafodelista"/>
        <w:rPr>
          <w:rFonts w:ascii="Georgia" w:hAnsi="Georgia" w:cs="Arial"/>
          <w:sz w:val="22"/>
          <w:szCs w:val="22"/>
        </w:rPr>
      </w:pPr>
    </w:p>
    <w:p w14:paraId="4F07F10C" w14:textId="77777777" w:rsidR="00BA6373" w:rsidRPr="0054545C"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solicit</w:t>
      </w:r>
      <w:r w:rsidR="00C00B35" w:rsidRPr="0054545C">
        <w:rPr>
          <w:rFonts w:ascii="Georgia" w:hAnsi="Georgia" w:cs="Arial"/>
          <w:sz w:val="22"/>
          <w:szCs w:val="22"/>
        </w:rPr>
        <w:t>ud</w:t>
      </w:r>
      <w:r w:rsidR="00C5521F" w:rsidRPr="0054545C">
        <w:rPr>
          <w:rFonts w:ascii="Georgia" w:hAnsi="Georgia" w:cs="Arial"/>
          <w:sz w:val="22"/>
          <w:szCs w:val="22"/>
        </w:rPr>
        <w:t>es de información resueltas</w:t>
      </w:r>
      <w:r w:rsidR="009E4996" w:rsidRPr="0054545C">
        <w:rPr>
          <w:rFonts w:ascii="Georgia" w:hAnsi="Georgia" w:cs="Arial"/>
          <w:sz w:val="22"/>
          <w:szCs w:val="22"/>
        </w:rPr>
        <w:t xml:space="preserve">: </w:t>
      </w:r>
      <w:r w:rsidR="00B11EF1">
        <w:rPr>
          <w:rFonts w:ascii="Georgia" w:hAnsi="Georgia" w:cs="Arial"/>
          <w:sz w:val="22"/>
          <w:szCs w:val="22"/>
        </w:rPr>
        <w:t>5,357</w:t>
      </w:r>
      <w:r w:rsidRPr="0054545C">
        <w:rPr>
          <w:rFonts w:ascii="Georgia" w:hAnsi="Georgia" w:cs="Arial"/>
          <w:sz w:val="22"/>
          <w:szCs w:val="22"/>
        </w:rPr>
        <w:t>.</w:t>
      </w:r>
    </w:p>
    <w:p w14:paraId="7EB74733" w14:textId="77777777" w:rsidR="00BA6373" w:rsidRPr="0054545C" w:rsidRDefault="00BA6373" w:rsidP="00BA6373">
      <w:pPr>
        <w:pStyle w:val="Prrafodelista"/>
        <w:ind w:left="1134"/>
        <w:jc w:val="both"/>
        <w:rPr>
          <w:rFonts w:ascii="Georgia" w:hAnsi="Georgia" w:cs="Arial"/>
          <w:sz w:val="22"/>
          <w:szCs w:val="22"/>
        </w:rPr>
      </w:pPr>
    </w:p>
    <w:p w14:paraId="58337AAB" w14:textId="77777777" w:rsidR="00BA6373" w:rsidRPr="00F463D7" w:rsidRDefault="00BA6373" w:rsidP="00BA6373">
      <w:pPr>
        <w:pStyle w:val="Prrafodelista"/>
        <w:numPr>
          <w:ilvl w:val="0"/>
          <w:numId w:val="7"/>
        </w:numPr>
        <w:ind w:left="1134"/>
        <w:contextualSpacing w:val="0"/>
        <w:jc w:val="both"/>
        <w:rPr>
          <w:rFonts w:ascii="Georgia" w:hAnsi="Georgia" w:cs="Arial"/>
          <w:sz w:val="22"/>
          <w:szCs w:val="22"/>
        </w:rPr>
      </w:pPr>
      <w:r w:rsidRPr="00F463D7">
        <w:rPr>
          <w:rFonts w:ascii="Georgia" w:hAnsi="Georgia" w:cs="Arial"/>
          <w:sz w:val="22"/>
          <w:szCs w:val="22"/>
        </w:rPr>
        <w:t>Número de solicitudes realizadas a tr</w:t>
      </w:r>
      <w:r w:rsidR="00216077" w:rsidRPr="00F463D7">
        <w:rPr>
          <w:rFonts w:ascii="Georgia" w:hAnsi="Georgia" w:cs="Arial"/>
          <w:sz w:val="22"/>
          <w:szCs w:val="22"/>
        </w:rPr>
        <w:t>av</w:t>
      </w:r>
      <w:r w:rsidR="005B1966" w:rsidRPr="00F463D7">
        <w:rPr>
          <w:rFonts w:ascii="Georgia" w:hAnsi="Georgia" w:cs="Arial"/>
          <w:sz w:val="22"/>
          <w:szCs w:val="22"/>
        </w:rPr>
        <w:t xml:space="preserve">és de medios electrónicos: </w:t>
      </w:r>
      <w:r w:rsidR="007652BC" w:rsidRPr="00F463D7">
        <w:rPr>
          <w:rFonts w:ascii="Georgia" w:hAnsi="Georgia" w:cs="Arial"/>
          <w:sz w:val="22"/>
          <w:szCs w:val="22"/>
        </w:rPr>
        <w:t>5</w:t>
      </w:r>
      <w:r w:rsidR="00102BD7" w:rsidRPr="00F463D7">
        <w:rPr>
          <w:rFonts w:ascii="Georgia" w:hAnsi="Georgia" w:cs="Arial"/>
          <w:sz w:val="22"/>
          <w:szCs w:val="22"/>
        </w:rPr>
        <w:t>,</w:t>
      </w:r>
      <w:r w:rsidR="00B11EF1" w:rsidRPr="00F463D7">
        <w:rPr>
          <w:rFonts w:ascii="Georgia" w:hAnsi="Georgia" w:cs="Arial"/>
          <w:sz w:val="22"/>
          <w:szCs w:val="22"/>
        </w:rPr>
        <w:t>430</w:t>
      </w:r>
      <w:r w:rsidR="00F563D6" w:rsidRPr="00F463D7">
        <w:rPr>
          <w:rFonts w:ascii="Georgia" w:hAnsi="Georgia" w:cs="Arial"/>
          <w:sz w:val="22"/>
          <w:szCs w:val="22"/>
        </w:rPr>
        <w:t>.</w:t>
      </w:r>
      <w:r w:rsidR="005B1966" w:rsidRPr="00F463D7">
        <w:rPr>
          <w:rFonts w:ascii="Georgia" w:hAnsi="Georgia" w:cs="Arial"/>
          <w:sz w:val="22"/>
          <w:szCs w:val="22"/>
        </w:rPr>
        <w:t xml:space="preserve"> </w:t>
      </w:r>
    </w:p>
    <w:p w14:paraId="49F5D7CC" w14:textId="77777777" w:rsidR="00BA6373" w:rsidRPr="0054545C" w:rsidRDefault="00BA6373" w:rsidP="00BA6373">
      <w:pPr>
        <w:pStyle w:val="Prrafodelista"/>
        <w:ind w:left="1134"/>
        <w:jc w:val="both"/>
        <w:rPr>
          <w:rFonts w:ascii="Georgia" w:hAnsi="Georgia" w:cs="Arial"/>
          <w:sz w:val="22"/>
          <w:szCs w:val="22"/>
        </w:rPr>
      </w:pPr>
    </w:p>
    <w:p w14:paraId="7764999A" w14:textId="77777777" w:rsidR="008068C9" w:rsidRPr="00F463D7" w:rsidRDefault="00BA6373" w:rsidP="00BA6373">
      <w:pPr>
        <w:pStyle w:val="Prrafodelista"/>
        <w:numPr>
          <w:ilvl w:val="0"/>
          <w:numId w:val="7"/>
        </w:numPr>
        <w:ind w:left="1134"/>
        <w:contextualSpacing w:val="0"/>
        <w:jc w:val="both"/>
        <w:rPr>
          <w:rFonts w:ascii="Georgia" w:hAnsi="Georgia" w:cs="Arial"/>
          <w:sz w:val="22"/>
          <w:szCs w:val="22"/>
        </w:rPr>
      </w:pPr>
      <w:r w:rsidRPr="0054545C">
        <w:rPr>
          <w:rFonts w:ascii="Georgia" w:hAnsi="Georgia" w:cs="Arial"/>
          <w:sz w:val="22"/>
          <w:szCs w:val="22"/>
        </w:rPr>
        <w:t>Número solicitudes realiz</w:t>
      </w:r>
      <w:r w:rsidR="005B1966" w:rsidRPr="0054545C">
        <w:rPr>
          <w:rFonts w:ascii="Georgia" w:hAnsi="Georgia" w:cs="Arial"/>
          <w:sz w:val="22"/>
          <w:szCs w:val="22"/>
        </w:rPr>
        <w:t xml:space="preserve">adas de manera </w:t>
      </w:r>
      <w:r w:rsidR="005B1966" w:rsidRPr="00F463D7">
        <w:rPr>
          <w:rFonts w:ascii="Georgia" w:hAnsi="Georgia" w:cs="Arial"/>
          <w:sz w:val="22"/>
          <w:szCs w:val="22"/>
        </w:rPr>
        <w:t>presencial</w:t>
      </w:r>
      <w:r w:rsidR="00BE13F2" w:rsidRPr="00F463D7">
        <w:rPr>
          <w:rFonts w:ascii="Georgia" w:hAnsi="Georgia" w:cs="Arial"/>
          <w:sz w:val="22"/>
          <w:szCs w:val="22"/>
        </w:rPr>
        <w:t xml:space="preserve">: </w:t>
      </w:r>
      <w:r w:rsidR="00B11EF1" w:rsidRPr="00F463D7">
        <w:rPr>
          <w:rFonts w:ascii="Georgia" w:hAnsi="Georgia" w:cs="Arial"/>
          <w:sz w:val="22"/>
          <w:szCs w:val="22"/>
        </w:rPr>
        <w:t>0</w:t>
      </w:r>
      <w:r w:rsidRPr="00F463D7">
        <w:rPr>
          <w:rFonts w:ascii="Georgia" w:hAnsi="Georgia" w:cs="Arial"/>
          <w:sz w:val="22"/>
          <w:szCs w:val="22"/>
        </w:rPr>
        <w:t>.</w:t>
      </w:r>
    </w:p>
    <w:p w14:paraId="6965A9BF" w14:textId="77777777" w:rsidR="008068C9" w:rsidRPr="0054545C" w:rsidRDefault="008068C9" w:rsidP="008068C9">
      <w:pPr>
        <w:pStyle w:val="Prrafodelista"/>
        <w:jc w:val="both"/>
        <w:rPr>
          <w:rFonts w:ascii="Georgia" w:hAnsi="Georgia" w:cs="Arial"/>
          <w:sz w:val="22"/>
          <w:szCs w:val="22"/>
        </w:rPr>
      </w:pPr>
    </w:p>
    <w:p w14:paraId="7C2DE783" w14:textId="77777777" w:rsidR="008068C9" w:rsidRPr="00F463D7"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orientaciones realizadas para que el solicitante presente su solicitud ante otra Unidad de Enlace</w:t>
      </w:r>
      <w:r w:rsidRPr="00F463D7">
        <w:rPr>
          <w:rFonts w:ascii="Georgia" w:hAnsi="Georgia" w:cs="Arial"/>
          <w:sz w:val="22"/>
          <w:szCs w:val="22"/>
        </w:rPr>
        <w:t xml:space="preserve">: </w:t>
      </w:r>
      <w:r w:rsidR="00991389" w:rsidRPr="00F463D7">
        <w:rPr>
          <w:rFonts w:ascii="Georgia" w:hAnsi="Georgia" w:cs="Arial"/>
          <w:sz w:val="22"/>
          <w:szCs w:val="22"/>
        </w:rPr>
        <w:t>8</w:t>
      </w:r>
      <w:r w:rsidR="003C6D01" w:rsidRPr="00F463D7">
        <w:rPr>
          <w:rFonts w:ascii="Georgia" w:hAnsi="Georgia" w:cs="Arial"/>
          <w:sz w:val="22"/>
          <w:szCs w:val="22"/>
        </w:rPr>
        <w:t>3</w:t>
      </w:r>
      <w:r w:rsidRPr="00F463D7">
        <w:rPr>
          <w:rFonts w:ascii="Georgia" w:hAnsi="Georgia" w:cs="Arial"/>
          <w:sz w:val="22"/>
          <w:szCs w:val="22"/>
        </w:rPr>
        <w:t>.</w:t>
      </w:r>
    </w:p>
    <w:p w14:paraId="081798B6" w14:textId="77777777" w:rsidR="008068C9" w:rsidRPr="0054545C" w:rsidRDefault="008068C9" w:rsidP="008068C9">
      <w:pPr>
        <w:pStyle w:val="Prrafodelista"/>
        <w:tabs>
          <w:tab w:val="left" w:pos="3390"/>
        </w:tabs>
        <w:jc w:val="both"/>
        <w:rPr>
          <w:rFonts w:ascii="Georgia" w:hAnsi="Georgia" w:cs="Arial"/>
          <w:b/>
          <w:sz w:val="22"/>
          <w:szCs w:val="22"/>
        </w:rPr>
      </w:pPr>
      <w:r w:rsidRPr="0054545C">
        <w:rPr>
          <w:rFonts w:ascii="Georgia" w:hAnsi="Georgia" w:cs="Arial"/>
          <w:b/>
          <w:sz w:val="22"/>
          <w:szCs w:val="22"/>
        </w:rPr>
        <w:tab/>
      </w:r>
    </w:p>
    <w:p w14:paraId="0C4A2502" w14:textId="77777777" w:rsidR="008068C9" w:rsidRPr="0054545C" w:rsidRDefault="008068C9" w:rsidP="008068C9">
      <w:pPr>
        <w:pStyle w:val="Prrafodelista"/>
        <w:jc w:val="both"/>
        <w:rPr>
          <w:rFonts w:ascii="Georgia" w:hAnsi="Georgia" w:cs="Arial"/>
          <w:b/>
          <w:sz w:val="22"/>
          <w:szCs w:val="22"/>
        </w:rPr>
      </w:pPr>
    </w:p>
    <w:p w14:paraId="137A7B9F" w14:textId="77777777" w:rsidR="008068C9" w:rsidRPr="0054545C" w:rsidRDefault="008068C9" w:rsidP="008068C9">
      <w:pPr>
        <w:pStyle w:val="Prrafodelista"/>
        <w:numPr>
          <w:ilvl w:val="0"/>
          <w:numId w:val="6"/>
        </w:numPr>
        <w:contextualSpacing w:val="0"/>
        <w:jc w:val="both"/>
        <w:rPr>
          <w:rFonts w:ascii="Georgia" w:hAnsi="Georgia" w:cs="Arial"/>
          <w:b/>
          <w:sz w:val="22"/>
          <w:szCs w:val="22"/>
        </w:rPr>
      </w:pPr>
      <w:r w:rsidRPr="0054545C">
        <w:rPr>
          <w:rFonts w:ascii="Georgia" w:hAnsi="Georgia" w:cs="Arial"/>
          <w:b/>
          <w:sz w:val="22"/>
          <w:szCs w:val="22"/>
        </w:rPr>
        <w:t>Procedimiento Sumario.</w:t>
      </w:r>
    </w:p>
    <w:p w14:paraId="5CE53796" w14:textId="77777777" w:rsidR="008068C9" w:rsidRPr="0054545C" w:rsidRDefault="008068C9" w:rsidP="008068C9">
      <w:pPr>
        <w:pStyle w:val="Prrafodelista"/>
        <w:ind w:left="1134"/>
        <w:jc w:val="both"/>
        <w:rPr>
          <w:rFonts w:ascii="Georgia" w:hAnsi="Georgia" w:cs="Arial"/>
          <w:sz w:val="22"/>
          <w:szCs w:val="22"/>
        </w:rPr>
      </w:pPr>
    </w:p>
    <w:p w14:paraId="60925181" w14:textId="77777777" w:rsidR="008068C9" w:rsidRPr="00F463D7"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F463D7">
        <w:rPr>
          <w:rFonts w:ascii="Georgia" w:hAnsi="Georgia" w:cs="Arial"/>
          <w:sz w:val="22"/>
          <w:szCs w:val="22"/>
        </w:rPr>
        <w:t>Total</w:t>
      </w:r>
      <w:proofErr w:type="gramEnd"/>
      <w:r w:rsidRPr="00F463D7">
        <w:rPr>
          <w:rFonts w:ascii="Georgia" w:hAnsi="Georgia" w:cs="Arial"/>
          <w:sz w:val="22"/>
          <w:szCs w:val="22"/>
        </w:rPr>
        <w:t xml:space="preserve"> de solicitudes tramitadas mediante procedimiento sumario: </w:t>
      </w:r>
      <w:r w:rsidR="00095ABA" w:rsidRPr="00F463D7">
        <w:rPr>
          <w:rFonts w:ascii="Georgia" w:hAnsi="Georgia" w:cs="Arial"/>
          <w:sz w:val="22"/>
          <w:szCs w:val="22"/>
        </w:rPr>
        <w:t>4</w:t>
      </w:r>
      <w:r w:rsidR="00FC6B8F" w:rsidRPr="00F463D7">
        <w:rPr>
          <w:rFonts w:ascii="Georgia" w:hAnsi="Georgia" w:cs="Arial"/>
          <w:sz w:val="22"/>
          <w:szCs w:val="22"/>
        </w:rPr>
        <w:t>,</w:t>
      </w:r>
      <w:r w:rsidR="00095ABA" w:rsidRPr="00F463D7">
        <w:rPr>
          <w:rFonts w:ascii="Georgia" w:hAnsi="Georgia" w:cs="Arial"/>
          <w:sz w:val="22"/>
          <w:szCs w:val="22"/>
        </w:rPr>
        <w:t>158</w:t>
      </w:r>
      <w:r w:rsidRPr="00F463D7">
        <w:rPr>
          <w:rFonts w:ascii="Georgia" w:hAnsi="Georgia" w:cs="Arial"/>
          <w:sz w:val="22"/>
          <w:szCs w:val="22"/>
        </w:rPr>
        <w:t>.</w:t>
      </w:r>
    </w:p>
    <w:p w14:paraId="684D9DCC" w14:textId="77777777" w:rsidR="008068C9" w:rsidRPr="0054545C" w:rsidRDefault="008068C9" w:rsidP="008068C9">
      <w:pPr>
        <w:pStyle w:val="Prrafodelista"/>
        <w:ind w:left="1134"/>
        <w:jc w:val="both"/>
        <w:rPr>
          <w:rFonts w:ascii="Georgia" w:hAnsi="Georgia" w:cs="Arial"/>
          <w:sz w:val="22"/>
          <w:szCs w:val="22"/>
        </w:rPr>
      </w:pPr>
    </w:p>
    <w:p w14:paraId="04AB9672" w14:textId="77777777" w:rsidR="008068C9" w:rsidRPr="00F463D7"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solicitudes tramitadas mediante procedimiento sumario a través de los Módulos de Acceso a la Información</w:t>
      </w:r>
      <w:r w:rsidRPr="00F463D7">
        <w:rPr>
          <w:rFonts w:ascii="Georgia" w:hAnsi="Georgia" w:cs="Arial"/>
          <w:sz w:val="22"/>
          <w:szCs w:val="22"/>
        </w:rPr>
        <w:t xml:space="preserve">: </w:t>
      </w:r>
      <w:r w:rsidR="00095ABA" w:rsidRPr="00F463D7">
        <w:rPr>
          <w:rFonts w:ascii="Georgia" w:hAnsi="Georgia" w:cs="Arial"/>
          <w:sz w:val="22"/>
          <w:szCs w:val="22"/>
        </w:rPr>
        <w:t>4</w:t>
      </w:r>
      <w:r w:rsidR="00581CEE" w:rsidRPr="00F463D7">
        <w:rPr>
          <w:rFonts w:ascii="Georgia" w:hAnsi="Georgia" w:cs="Arial"/>
          <w:sz w:val="22"/>
          <w:szCs w:val="22"/>
        </w:rPr>
        <w:t>,</w:t>
      </w:r>
      <w:r w:rsidR="00095ABA" w:rsidRPr="00F463D7">
        <w:rPr>
          <w:rFonts w:ascii="Georgia" w:hAnsi="Georgia" w:cs="Arial"/>
          <w:sz w:val="22"/>
          <w:szCs w:val="22"/>
        </w:rPr>
        <w:t>088</w:t>
      </w:r>
      <w:r w:rsidRPr="00F463D7">
        <w:rPr>
          <w:rFonts w:ascii="Georgia" w:hAnsi="Georgia" w:cs="Arial"/>
          <w:sz w:val="22"/>
          <w:szCs w:val="22"/>
        </w:rPr>
        <w:t>.</w:t>
      </w:r>
    </w:p>
    <w:p w14:paraId="45B74624" w14:textId="77777777" w:rsidR="008068C9" w:rsidRPr="0054545C" w:rsidRDefault="008068C9" w:rsidP="008068C9">
      <w:pPr>
        <w:ind w:left="1560" w:hanging="425"/>
        <w:jc w:val="both"/>
        <w:rPr>
          <w:rFonts w:ascii="Georgia" w:hAnsi="Georgia" w:cs="Arial"/>
          <w:sz w:val="22"/>
          <w:szCs w:val="22"/>
          <w:lang w:val="es-MX"/>
        </w:rPr>
      </w:pPr>
    </w:p>
    <w:p w14:paraId="230AABCC" w14:textId="77777777" w:rsidR="008068C9" w:rsidRPr="00F463D7"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consultas de información legislativa y </w:t>
      </w:r>
      <w:proofErr w:type="spellStart"/>
      <w:r w:rsidRPr="0054545C">
        <w:rPr>
          <w:rFonts w:ascii="Georgia" w:hAnsi="Georgia" w:cs="Arial"/>
          <w:sz w:val="22"/>
          <w:szCs w:val="22"/>
        </w:rPr>
        <w:t>bibliohemerográfica</w:t>
      </w:r>
      <w:proofErr w:type="spellEnd"/>
      <w:r w:rsidRPr="0054545C">
        <w:rPr>
          <w:rFonts w:ascii="Georgia" w:hAnsi="Georgia" w:cs="Arial"/>
          <w:sz w:val="22"/>
          <w:szCs w:val="22"/>
        </w:rPr>
        <w:t xml:space="preserve"> en el Distrito </w:t>
      </w:r>
      <w:r w:rsidRPr="00F463D7">
        <w:rPr>
          <w:rFonts w:ascii="Georgia" w:hAnsi="Georgia" w:cs="Arial"/>
          <w:sz w:val="22"/>
          <w:szCs w:val="22"/>
        </w:rPr>
        <w:t xml:space="preserve">Federal: </w:t>
      </w:r>
      <w:r w:rsidR="00095ABA" w:rsidRPr="00F463D7">
        <w:rPr>
          <w:rFonts w:ascii="Georgia" w:hAnsi="Georgia" w:cs="Arial"/>
          <w:sz w:val="22"/>
          <w:szCs w:val="22"/>
        </w:rPr>
        <w:t>70</w:t>
      </w:r>
      <w:r w:rsidRPr="00F463D7">
        <w:rPr>
          <w:rFonts w:ascii="Georgia" w:hAnsi="Georgia" w:cs="Arial"/>
          <w:sz w:val="22"/>
          <w:szCs w:val="22"/>
        </w:rPr>
        <w:t>.</w:t>
      </w:r>
    </w:p>
    <w:p w14:paraId="6B6D66FB" w14:textId="77777777" w:rsidR="008068C9" w:rsidRPr="0054545C" w:rsidRDefault="008068C9" w:rsidP="008068C9">
      <w:pPr>
        <w:ind w:left="1080"/>
        <w:jc w:val="both"/>
        <w:rPr>
          <w:rFonts w:ascii="Georgia" w:hAnsi="Georgia" w:cs="Arial"/>
          <w:sz w:val="22"/>
          <w:szCs w:val="22"/>
          <w:lang w:val="es-MX"/>
        </w:rPr>
      </w:pPr>
    </w:p>
    <w:p w14:paraId="5F149C06" w14:textId="77777777" w:rsidR="008068C9" w:rsidRPr="0054545C" w:rsidRDefault="008068C9" w:rsidP="008068C9">
      <w:pPr>
        <w:ind w:left="1080"/>
        <w:jc w:val="both"/>
        <w:rPr>
          <w:rFonts w:ascii="Georgia" w:hAnsi="Georgia" w:cs="Arial"/>
          <w:sz w:val="22"/>
          <w:szCs w:val="22"/>
          <w:lang w:val="es-MX"/>
        </w:rPr>
      </w:pPr>
    </w:p>
    <w:p w14:paraId="34B2814D" w14:textId="77777777" w:rsidR="008068C9" w:rsidRPr="0054545C" w:rsidRDefault="008068C9" w:rsidP="008068C9">
      <w:pPr>
        <w:pStyle w:val="Prrafodelista"/>
        <w:numPr>
          <w:ilvl w:val="0"/>
          <w:numId w:val="6"/>
        </w:numPr>
        <w:contextualSpacing w:val="0"/>
        <w:jc w:val="both"/>
        <w:rPr>
          <w:rFonts w:ascii="Georgia" w:hAnsi="Georgia" w:cs="Arial"/>
          <w:b/>
          <w:sz w:val="22"/>
          <w:szCs w:val="22"/>
        </w:rPr>
      </w:pPr>
      <w:r w:rsidRPr="0054545C">
        <w:rPr>
          <w:rFonts w:ascii="Georgia" w:hAnsi="Georgia" w:cs="Arial"/>
          <w:b/>
          <w:sz w:val="22"/>
          <w:szCs w:val="22"/>
        </w:rPr>
        <w:t>Procedimiento Ordinario.</w:t>
      </w:r>
    </w:p>
    <w:p w14:paraId="3F1728C3" w14:textId="77777777" w:rsidR="008068C9" w:rsidRPr="0054545C" w:rsidRDefault="008068C9" w:rsidP="008068C9">
      <w:pPr>
        <w:pStyle w:val="Prrafodelista"/>
        <w:ind w:left="1080"/>
        <w:jc w:val="both"/>
        <w:rPr>
          <w:rFonts w:ascii="Georgia" w:hAnsi="Georgia" w:cs="Arial"/>
          <w:sz w:val="22"/>
          <w:szCs w:val="22"/>
        </w:rPr>
      </w:pPr>
    </w:p>
    <w:p w14:paraId="768386BF" w14:textId="77777777" w:rsidR="008F7502" w:rsidRPr="0054545C"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solicitudes tramitad</w:t>
      </w:r>
      <w:r w:rsidR="008F7756" w:rsidRPr="0054545C">
        <w:rPr>
          <w:rFonts w:ascii="Georgia" w:hAnsi="Georgia" w:cs="Arial"/>
          <w:sz w:val="22"/>
          <w:szCs w:val="22"/>
        </w:rPr>
        <w:t>as ante la Unidad de Enlace</w:t>
      </w:r>
      <w:r w:rsidR="00C85C3E" w:rsidRPr="0054545C">
        <w:rPr>
          <w:rFonts w:ascii="Georgia" w:hAnsi="Georgia" w:cs="Arial"/>
          <w:sz w:val="22"/>
          <w:szCs w:val="22"/>
        </w:rPr>
        <w:t xml:space="preserve">: </w:t>
      </w:r>
      <w:r w:rsidR="00460EFB" w:rsidRPr="00F463D7">
        <w:rPr>
          <w:rFonts w:ascii="Georgia" w:hAnsi="Georgia" w:cs="Arial"/>
          <w:sz w:val="22"/>
          <w:szCs w:val="22"/>
        </w:rPr>
        <w:t>1,27</w:t>
      </w:r>
      <w:r w:rsidR="006E1509" w:rsidRPr="00F463D7">
        <w:rPr>
          <w:rFonts w:ascii="Georgia" w:hAnsi="Georgia" w:cs="Arial"/>
          <w:sz w:val="22"/>
          <w:szCs w:val="22"/>
        </w:rPr>
        <w:t>2</w:t>
      </w:r>
      <w:r w:rsidRPr="00F463D7">
        <w:rPr>
          <w:rFonts w:ascii="Georgia" w:hAnsi="Georgia" w:cs="Arial"/>
          <w:sz w:val="22"/>
          <w:szCs w:val="22"/>
        </w:rPr>
        <w:t>.</w:t>
      </w:r>
    </w:p>
    <w:p w14:paraId="2ED53949" w14:textId="77777777" w:rsidR="008F7502" w:rsidRPr="0054545C" w:rsidRDefault="008F7502" w:rsidP="008F7502">
      <w:pPr>
        <w:pStyle w:val="Prrafodelista"/>
        <w:ind w:left="1134"/>
        <w:jc w:val="both"/>
        <w:rPr>
          <w:rFonts w:ascii="Georgia" w:hAnsi="Georgia" w:cs="Arial"/>
          <w:sz w:val="22"/>
          <w:szCs w:val="22"/>
        </w:rPr>
      </w:pPr>
    </w:p>
    <w:p w14:paraId="45036E93" w14:textId="77777777" w:rsidR="008F7502" w:rsidRPr="00F463D7"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F463D7">
        <w:rPr>
          <w:rFonts w:ascii="Georgia" w:hAnsi="Georgia" w:cs="Arial"/>
          <w:sz w:val="22"/>
          <w:szCs w:val="22"/>
        </w:rPr>
        <w:t>Total</w:t>
      </w:r>
      <w:proofErr w:type="gramEnd"/>
      <w:r w:rsidRPr="00F463D7">
        <w:rPr>
          <w:rFonts w:ascii="Georgia" w:hAnsi="Georgia" w:cs="Arial"/>
          <w:sz w:val="22"/>
          <w:szCs w:val="22"/>
        </w:rPr>
        <w:t xml:space="preserve"> de solicitudes canalizadas al Consejo de la Judicatura Federal o algu</w:t>
      </w:r>
      <w:r w:rsidR="00473957" w:rsidRPr="00F463D7">
        <w:rPr>
          <w:rFonts w:ascii="Georgia" w:hAnsi="Georgia" w:cs="Arial"/>
          <w:sz w:val="22"/>
          <w:szCs w:val="22"/>
        </w:rPr>
        <w:t xml:space="preserve">na otra institución pública: </w:t>
      </w:r>
      <w:r w:rsidR="00B11EF1" w:rsidRPr="00F463D7">
        <w:rPr>
          <w:rFonts w:ascii="Georgia" w:hAnsi="Georgia" w:cs="Arial"/>
          <w:sz w:val="22"/>
          <w:szCs w:val="22"/>
        </w:rPr>
        <w:t>1,010</w:t>
      </w:r>
      <w:r w:rsidRPr="00F463D7">
        <w:rPr>
          <w:rFonts w:ascii="Georgia" w:hAnsi="Georgia" w:cs="Arial"/>
          <w:sz w:val="22"/>
          <w:szCs w:val="22"/>
        </w:rPr>
        <w:t>.</w:t>
      </w:r>
    </w:p>
    <w:p w14:paraId="2FB5DB10" w14:textId="77777777" w:rsidR="008F7502" w:rsidRPr="00F463D7" w:rsidRDefault="008F7502" w:rsidP="008F7502">
      <w:pPr>
        <w:pStyle w:val="Prrafodelista"/>
        <w:ind w:left="1134"/>
        <w:jc w:val="both"/>
        <w:rPr>
          <w:rFonts w:ascii="Georgia" w:hAnsi="Georgia" w:cs="Arial"/>
          <w:sz w:val="22"/>
          <w:szCs w:val="22"/>
        </w:rPr>
      </w:pPr>
    </w:p>
    <w:p w14:paraId="6EA1D099" w14:textId="77777777" w:rsidR="008F7502" w:rsidRPr="00F463D7" w:rsidRDefault="008F7502" w:rsidP="008F7502">
      <w:pPr>
        <w:pStyle w:val="Prrafodelista"/>
        <w:numPr>
          <w:ilvl w:val="0"/>
          <w:numId w:val="7"/>
        </w:numPr>
        <w:ind w:left="1134"/>
        <w:contextualSpacing w:val="0"/>
        <w:jc w:val="both"/>
        <w:rPr>
          <w:rFonts w:ascii="Georgia" w:hAnsi="Georgia" w:cs="Arial"/>
          <w:sz w:val="22"/>
          <w:szCs w:val="22"/>
        </w:rPr>
      </w:pPr>
      <w:r w:rsidRPr="00F463D7">
        <w:rPr>
          <w:rFonts w:ascii="Georgia" w:hAnsi="Georgia" w:cs="Arial"/>
          <w:sz w:val="22"/>
          <w:szCs w:val="22"/>
        </w:rPr>
        <w:t xml:space="preserve">Número de solicitudes que se ordenó su archivo por </w:t>
      </w:r>
      <w:r w:rsidR="0077753B" w:rsidRPr="00F463D7">
        <w:rPr>
          <w:rFonts w:ascii="Georgia" w:hAnsi="Georgia" w:cs="Arial"/>
          <w:sz w:val="22"/>
          <w:szCs w:val="22"/>
        </w:rPr>
        <w:t xml:space="preserve">no desahogarse la prevención: </w:t>
      </w:r>
      <w:r w:rsidR="00B11EF1" w:rsidRPr="00F463D7">
        <w:rPr>
          <w:rFonts w:ascii="Georgia" w:hAnsi="Georgia" w:cs="Arial"/>
          <w:sz w:val="22"/>
          <w:szCs w:val="22"/>
        </w:rPr>
        <w:t>29</w:t>
      </w:r>
      <w:r w:rsidRPr="00F463D7">
        <w:rPr>
          <w:rFonts w:ascii="Georgia" w:hAnsi="Georgia" w:cs="Arial"/>
          <w:sz w:val="22"/>
          <w:szCs w:val="22"/>
        </w:rPr>
        <w:t>.</w:t>
      </w:r>
    </w:p>
    <w:p w14:paraId="50CC6AFA" w14:textId="77777777" w:rsidR="008F7502" w:rsidRPr="00F463D7" w:rsidRDefault="008F7502" w:rsidP="008F7502">
      <w:pPr>
        <w:pStyle w:val="Prrafodelista"/>
        <w:ind w:left="1134"/>
        <w:jc w:val="both"/>
        <w:rPr>
          <w:rFonts w:ascii="Georgia" w:hAnsi="Georgia" w:cs="Arial"/>
          <w:sz w:val="22"/>
          <w:szCs w:val="22"/>
        </w:rPr>
      </w:pPr>
    </w:p>
    <w:p w14:paraId="4D30DA27" w14:textId="77777777" w:rsidR="008F7502" w:rsidRPr="00F463D7"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F463D7">
        <w:rPr>
          <w:rFonts w:ascii="Georgia" w:hAnsi="Georgia" w:cs="Arial"/>
          <w:sz w:val="22"/>
          <w:szCs w:val="22"/>
        </w:rPr>
        <w:t>Total</w:t>
      </w:r>
      <w:proofErr w:type="gramEnd"/>
      <w:r w:rsidRPr="00F463D7">
        <w:rPr>
          <w:rFonts w:ascii="Georgia" w:hAnsi="Georgia" w:cs="Arial"/>
          <w:sz w:val="22"/>
          <w:szCs w:val="22"/>
        </w:rPr>
        <w:t xml:space="preserve"> de solicitudes tramitadas media</w:t>
      </w:r>
      <w:r w:rsidR="00F535C7" w:rsidRPr="00F463D7">
        <w:rPr>
          <w:rFonts w:ascii="Georgia" w:hAnsi="Georgia" w:cs="Arial"/>
          <w:sz w:val="22"/>
          <w:szCs w:val="22"/>
        </w:rPr>
        <w:t xml:space="preserve">nte procedimiento ordinario: </w:t>
      </w:r>
      <w:r w:rsidR="00B11EF1" w:rsidRPr="00F463D7">
        <w:rPr>
          <w:rFonts w:ascii="Georgia" w:hAnsi="Georgia" w:cs="Arial"/>
          <w:sz w:val="22"/>
          <w:szCs w:val="22"/>
        </w:rPr>
        <w:t>232</w:t>
      </w:r>
      <w:r w:rsidRPr="00F463D7">
        <w:rPr>
          <w:rFonts w:ascii="Georgia" w:hAnsi="Georgia" w:cs="Arial"/>
          <w:sz w:val="22"/>
          <w:szCs w:val="22"/>
        </w:rPr>
        <w:t>.</w:t>
      </w:r>
    </w:p>
    <w:p w14:paraId="662DE222" w14:textId="77777777" w:rsidR="008F7502" w:rsidRPr="00F463D7" w:rsidRDefault="008F7502" w:rsidP="008F7502">
      <w:pPr>
        <w:ind w:left="1080"/>
        <w:jc w:val="both"/>
        <w:rPr>
          <w:rFonts w:ascii="Georgia" w:hAnsi="Georgia" w:cs="Arial"/>
          <w:sz w:val="22"/>
          <w:szCs w:val="22"/>
          <w:lang w:val="es-MX"/>
        </w:rPr>
      </w:pPr>
    </w:p>
    <w:p w14:paraId="094915A3" w14:textId="77777777" w:rsidR="008F7502" w:rsidRPr="00F463D7" w:rsidRDefault="008F7502" w:rsidP="008F7502">
      <w:pPr>
        <w:pStyle w:val="Prrafodelista"/>
        <w:numPr>
          <w:ilvl w:val="0"/>
          <w:numId w:val="8"/>
        </w:numPr>
        <w:ind w:left="1560"/>
        <w:contextualSpacing w:val="0"/>
        <w:jc w:val="both"/>
        <w:rPr>
          <w:rFonts w:ascii="Georgia" w:hAnsi="Georgia" w:cs="Arial"/>
          <w:sz w:val="22"/>
          <w:szCs w:val="22"/>
        </w:rPr>
      </w:pPr>
      <w:r w:rsidRPr="00F463D7">
        <w:rPr>
          <w:rFonts w:ascii="Georgia" w:hAnsi="Georgia" w:cs="Arial"/>
          <w:sz w:val="22"/>
          <w:szCs w:val="22"/>
        </w:rPr>
        <w:t>Solicitudes de información tramitadas mediante el procedimiento ordinario cuya naturaleza es de carácte</w:t>
      </w:r>
      <w:r w:rsidR="00214077" w:rsidRPr="00F463D7">
        <w:rPr>
          <w:rFonts w:ascii="Georgia" w:hAnsi="Georgia" w:cs="Arial"/>
          <w:sz w:val="22"/>
          <w:szCs w:val="22"/>
        </w:rPr>
        <w:t>r administrativo</w:t>
      </w:r>
      <w:r w:rsidR="00D105FB" w:rsidRPr="00F463D7">
        <w:rPr>
          <w:rFonts w:ascii="Georgia" w:hAnsi="Georgia" w:cs="Arial"/>
          <w:sz w:val="22"/>
          <w:szCs w:val="22"/>
        </w:rPr>
        <w:t xml:space="preserve">: </w:t>
      </w:r>
      <w:r w:rsidR="00B11EF1" w:rsidRPr="00F463D7">
        <w:rPr>
          <w:rFonts w:ascii="Georgia" w:hAnsi="Georgia" w:cs="Arial"/>
          <w:sz w:val="22"/>
          <w:szCs w:val="22"/>
        </w:rPr>
        <w:t>67</w:t>
      </w:r>
      <w:r w:rsidRPr="00F463D7">
        <w:rPr>
          <w:rFonts w:ascii="Georgia" w:hAnsi="Georgia" w:cs="Arial"/>
          <w:sz w:val="22"/>
          <w:szCs w:val="22"/>
        </w:rPr>
        <w:t>.</w:t>
      </w:r>
    </w:p>
    <w:p w14:paraId="53CFB52D" w14:textId="77777777" w:rsidR="008F7502" w:rsidRPr="00F463D7" w:rsidRDefault="008F7502" w:rsidP="008F7502">
      <w:pPr>
        <w:pStyle w:val="Prrafodelista"/>
        <w:ind w:left="1560"/>
        <w:jc w:val="both"/>
        <w:rPr>
          <w:rFonts w:ascii="Georgia" w:hAnsi="Georgia" w:cs="Arial"/>
          <w:sz w:val="22"/>
          <w:szCs w:val="22"/>
        </w:rPr>
      </w:pPr>
    </w:p>
    <w:p w14:paraId="62666A91" w14:textId="77777777" w:rsidR="008F7502" w:rsidRPr="00F463D7" w:rsidRDefault="008F7502" w:rsidP="008F7502">
      <w:pPr>
        <w:pStyle w:val="Prrafodelista"/>
        <w:numPr>
          <w:ilvl w:val="0"/>
          <w:numId w:val="8"/>
        </w:numPr>
        <w:ind w:left="1560"/>
        <w:contextualSpacing w:val="0"/>
        <w:jc w:val="both"/>
        <w:rPr>
          <w:rFonts w:ascii="Georgia" w:hAnsi="Georgia" w:cs="Arial"/>
          <w:sz w:val="22"/>
          <w:szCs w:val="22"/>
        </w:rPr>
      </w:pPr>
      <w:r w:rsidRPr="00F463D7">
        <w:rPr>
          <w:rFonts w:ascii="Georgia" w:hAnsi="Georgia" w:cs="Arial"/>
          <w:sz w:val="22"/>
          <w:szCs w:val="22"/>
        </w:rPr>
        <w:t>Solicitudes de información tramitadas mediante el procedimiento ordinario cuya naturaleza e</w:t>
      </w:r>
      <w:r w:rsidR="00214077" w:rsidRPr="00F463D7">
        <w:rPr>
          <w:rFonts w:ascii="Georgia" w:hAnsi="Georgia" w:cs="Arial"/>
          <w:sz w:val="22"/>
          <w:szCs w:val="22"/>
        </w:rPr>
        <w:t>s de carácter jurisdiccional</w:t>
      </w:r>
      <w:r w:rsidR="008B0BA3" w:rsidRPr="00F463D7">
        <w:rPr>
          <w:rFonts w:ascii="Georgia" w:hAnsi="Georgia" w:cs="Arial"/>
          <w:sz w:val="22"/>
          <w:szCs w:val="22"/>
        </w:rPr>
        <w:t xml:space="preserve">: </w:t>
      </w:r>
      <w:r w:rsidR="00B11EF1" w:rsidRPr="00F463D7">
        <w:rPr>
          <w:rFonts w:ascii="Georgia" w:hAnsi="Georgia" w:cs="Arial"/>
          <w:sz w:val="22"/>
          <w:szCs w:val="22"/>
        </w:rPr>
        <w:t>165</w:t>
      </w:r>
      <w:r w:rsidRPr="00F463D7">
        <w:rPr>
          <w:rFonts w:ascii="Georgia" w:hAnsi="Georgia" w:cs="Arial"/>
          <w:sz w:val="22"/>
          <w:szCs w:val="22"/>
        </w:rPr>
        <w:t>.</w:t>
      </w:r>
    </w:p>
    <w:p w14:paraId="0E133A1C" w14:textId="77777777" w:rsidR="008F7502" w:rsidRPr="00F463D7" w:rsidRDefault="008F7502" w:rsidP="00C108E5">
      <w:pPr>
        <w:jc w:val="both"/>
        <w:rPr>
          <w:rFonts w:ascii="Georgia" w:hAnsi="Georgia" w:cs="Arial"/>
          <w:sz w:val="22"/>
          <w:szCs w:val="22"/>
          <w:lang w:val="es-MX"/>
        </w:rPr>
      </w:pPr>
    </w:p>
    <w:p w14:paraId="12A8FA33" w14:textId="77777777" w:rsidR="008F7502" w:rsidRPr="00F463D7" w:rsidRDefault="008F7502" w:rsidP="008F7502">
      <w:pPr>
        <w:pStyle w:val="Prrafodelista"/>
        <w:numPr>
          <w:ilvl w:val="0"/>
          <w:numId w:val="7"/>
        </w:numPr>
        <w:ind w:left="1134"/>
        <w:contextualSpacing w:val="0"/>
        <w:jc w:val="both"/>
        <w:rPr>
          <w:rFonts w:ascii="Georgia" w:hAnsi="Georgia" w:cs="Arial"/>
          <w:sz w:val="22"/>
          <w:szCs w:val="22"/>
        </w:rPr>
      </w:pPr>
      <w:r w:rsidRPr="00F463D7">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F463D7">
        <w:rPr>
          <w:rFonts w:ascii="Georgia" w:hAnsi="Georgia" w:cs="Arial"/>
          <w:sz w:val="22"/>
          <w:szCs w:val="22"/>
        </w:rPr>
        <w:t xml:space="preserve"> Salas de este Alto Tribunal</w:t>
      </w:r>
      <w:r w:rsidR="00845589" w:rsidRPr="00F463D7">
        <w:rPr>
          <w:rFonts w:ascii="Georgia" w:hAnsi="Georgia" w:cs="Arial"/>
          <w:sz w:val="22"/>
          <w:szCs w:val="22"/>
        </w:rPr>
        <w:t xml:space="preserve">: </w:t>
      </w:r>
      <w:r w:rsidR="00E4350F" w:rsidRPr="00F463D7">
        <w:rPr>
          <w:rFonts w:ascii="Georgia" w:hAnsi="Georgia" w:cs="Arial"/>
          <w:sz w:val="22"/>
          <w:szCs w:val="22"/>
        </w:rPr>
        <w:t xml:space="preserve"> </w:t>
      </w:r>
      <w:r w:rsidR="00B11EF1" w:rsidRPr="00F463D7">
        <w:rPr>
          <w:rFonts w:ascii="Georgia" w:hAnsi="Georgia" w:cs="Arial"/>
          <w:sz w:val="22"/>
          <w:szCs w:val="22"/>
        </w:rPr>
        <w:t>19</w:t>
      </w:r>
      <w:r w:rsidRPr="00F463D7">
        <w:rPr>
          <w:rFonts w:ascii="Georgia" w:hAnsi="Georgia" w:cs="Arial"/>
          <w:sz w:val="22"/>
          <w:szCs w:val="22"/>
        </w:rPr>
        <w:t>.</w:t>
      </w:r>
    </w:p>
    <w:p w14:paraId="77932894" w14:textId="77777777" w:rsidR="008F7502" w:rsidRPr="00F463D7" w:rsidRDefault="008F7502" w:rsidP="008F7502">
      <w:pPr>
        <w:ind w:left="1080"/>
        <w:jc w:val="both"/>
        <w:rPr>
          <w:rFonts w:ascii="Georgia" w:hAnsi="Georgia" w:cs="Arial"/>
          <w:sz w:val="22"/>
          <w:szCs w:val="22"/>
          <w:lang w:val="es-MX"/>
        </w:rPr>
      </w:pPr>
    </w:p>
    <w:p w14:paraId="63889C7E" w14:textId="77777777" w:rsidR="009940CE" w:rsidRPr="00F463D7" w:rsidRDefault="008F7502" w:rsidP="008F7502">
      <w:pPr>
        <w:pStyle w:val="Prrafodelista"/>
        <w:numPr>
          <w:ilvl w:val="0"/>
          <w:numId w:val="7"/>
        </w:numPr>
        <w:ind w:left="1134"/>
        <w:contextualSpacing w:val="0"/>
        <w:jc w:val="both"/>
        <w:rPr>
          <w:rFonts w:ascii="Georgia" w:hAnsi="Georgia" w:cs="Arial"/>
          <w:sz w:val="22"/>
          <w:szCs w:val="22"/>
        </w:rPr>
      </w:pPr>
      <w:r w:rsidRPr="00F463D7">
        <w:rPr>
          <w:rFonts w:ascii="Georgia" w:hAnsi="Georgia" w:cs="Arial"/>
          <w:sz w:val="22"/>
          <w:szCs w:val="22"/>
        </w:rPr>
        <w:t>Solicitudes de acceso, rectificación, cancelación u oposición a la pu</w:t>
      </w:r>
      <w:r w:rsidR="007D3306" w:rsidRPr="00F463D7">
        <w:rPr>
          <w:rFonts w:ascii="Georgia" w:hAnsi="Georgia" w:cs="Arial"/>
          <w:sz w:val="22"/>
          <w:szCs w:val="22"/>
        </w:rPr>
        <w:t>blicación de datos personales</w:t>
      </w:r>
      <w:r w:rsidR="00A816B8" w:rsidRPr="00F463D7">
        <w:rPr>
          <w:rFonts w:ascii="Georgia" w:hAnsi="Georgia" w:cs="Arial"/>
          <w:sz w:val="22"/>
          <w:szCs w:val="22"/>
        </w:rPr>
        <w:t xml:space="preserve">: </w:t>
      </w:r>
      <w:r w:rsidR="00B11EF1" w:rsidRPr="00F463D7">
        <w:rPr>
          <w:rFonts w:ascii="Georgia" w:hAnsi="Georgia" w:cs="Arial"/>
          <w:sz w:val="22"/>
          <w:szCs w:val="22"/>
        </w:rPr>
        <w:t>1</w:t>
      </w:r>
      <w:r w:rsidRPr="00F463D7">
        <w:rPr>
          <w:rFonts w:ascii="Georgia" w:hAnsi="Georgia" w:cs="Arial"/>
          <w:sz w:val="22"/>
          <w:szCs w:val="22"/>
        </w:rPr>
        <w:t>.</w:t>
      </w:r>
    </w:p>
    <w:p w14:paraId="0AE868D1" w14:textId="77777777" w:rsidR="009940CE" w:rsidRPr="0054545C" w:rsidRDefault="009940CE" w:rsidP="008068C9">
      <w:pPr>
        <w:ind w:left="1080"/>
        <w:jc w:val="both"/>
        <w:rPr>
          <w:rFonts w:ascii="Georgia" w:hAnsi="Georgia" w:cs="Arial"/>
          <w:sz w:val="22"/>
          <w:szCs w:val="22"/>
          <w:lang w:val="es-MX"/>
        </w:rPr>
      </w:pPr>
    </w:p>
    <w:p w14:paraId="1109C1A4" w14:textId="77777777" w:rsidR="009940CE" w:rsidRPr="0054545C" w:rsidRDefault="009940CE" w:rsidP="008068C9">
      <w:pPr>
        <w:ind w:left="1080"/>
        <w:jc w:val="both"/>
        <w:rPr>
          <w:rFonts w:ascii="Georgia" w:hAnsi="Georgia" w:cs="Arial"/>
          <w:sz w:val="22"/>
          <w:szCs w:val="22"/>
          <w:lang w:val="es-MX"/>
        </w:rPr>
      </w:pPr>
    </w:p>
    <w:p w14:paraId="3E566E65" w14:textId="77777777" w:rsidR="008068C9" w:rsidRPr="0054545C" w:rsidRDefault="008068C9" w:rsidP="008068C9">
      <w:pPr>
        <w:pStyle w:val="Prrafodelista"/>
        <w:numPr>
          <w:ilvl w:val="0"/>
          <w:numId w:val="6"/>
        </w:numPr>
        <w:contextualSpacing w:val="0"/>
        <w:jc w:val="both"/>
        <w:rPr>
          <w:rFonts w:ascii="Georgia" w:hAnsi="Georgia" w:cs="Arial"/>
          <w:b/>
          <w:sz w:val="22"/>
          <w:szCs w:val="22"/>
        </w:rPr>
      </w:pPr>
      <w:r w:rsidRPr="0054545C">
        <w:rPr>
          <w:rFonts w:ascii="Georgia" w:hAnsi="Georgia" w:cs="Arial"/>
          <w:b/>
          <w:sz w:val="22"/>
          <w:szCs w:val="22"/>
        </w:rPr>
        <w:t xml:space="preserve">Comité de </w:t>
      </w:r>
      <w:r w:rsidR="00417C2B" w:rsidRPr="0054545C">
        <w:rPr>
          <w:rFonts w:ascii="Georgia" w:hAnsi="Georgia" w:cs="Arial"/>
          <w:b/>
          <w:sz w:val="22"/>
          <w:szCs w:val="22"/>
        </w:rPr>
        <w:t>Transparencia</w:t>
      </w:r>
      <w:r w:rsidRPr="0054545C">
        <w:rPr>
          <w:rFonts w:ascii="Georgia" w:hAnsi="Georgia" w:cs="Arial"/>
          <w:b/>
          <w:sz w:val="22"/>
          <w:szCs w:val="22"/>
        </w:rPr>
        <w:t>.</w:t>
      </w:r>
    </w:p>
    <w:p w14:paraId="14D5ECEA" w14:textId="77777777" w:rsidR="008068C9" w:rsidRPr="0054545C" w:rsidRDefault="008068C9" w:rsidP="008068C9">
      <w:pPr>
        <w:ind w:left="1080"/>
        <w:jc w:val="both"/>
        <w:rPr>
          <w:rFonts w:ascii="Georgia" w:hAnsi="Georgia" w:cs="Arial"/>
          <w:b/>
          <w:sz w:val="22"/>
          <w:szCs w:val="22"/>
          <w:lang w:val="es-MX"/>
        </w:rPr>
      </w:pPr>
    </w:p>
    <w:p w14:paraId="6DEE86C6" w14:textId="77777777" w:rsidR="008068C9" w:rsidRPr="00F463D7" w:rsidRDefault="008068C9" w:rsidP="008068C9">
      <w:pPr>
        <w:numPr>
          <w:ilvl w:val="1"/>
          <w:numId w:val="5"/>
        </w:numPr>
        <w:jc w:val="both"/>
        <w:rPr>
          <w:rFonts w:ascii="Georgia" w:hAnsi="Georgia" w:cs="Arial"/>
          <w:b/>
          <w:sz w:val="22"/>
          <w:szCs w:val="22"/>
          <w:lang w:val="es-MX"/>
        </w:rPr>
      </w:pPr>
      <w:r w:rsidRPr="0054545C">
        <w:rPr>
          <w:rFonts w:ascii="Georgia" w:hAnsi="Georgia" w:cs="Arial"/>
          <w:sz w:val="22"/>
          <w:szCs w:val="22"/>
          <w:lang w:val="es-MX"/>
        </w:rPr>
        <w:t>Expedientes turnados</w:t>
      </w:r>
      <w:r w:rsidR="00727BA0" w:rsidRPr="0054545C">
        <w:rPr>
          <w:rFonts w:ascii="Georgia" w:hAnsi="Georgia" w:cs="Arial"/>
          <w:sz w:val="22"/>
          <w:szCs w:val="22"/>
          <w:lang w:val="es-MX"/>
        </w:rPr>
        <w:t xml:space="preserve"> </w:t>
      </w:r>
      <w:r w:rsidR="006B2765" w:rsidRPr="0054545C">
        <w:rPr>
          <w:rFonts w:ascii="Georgia" w:hAnsi="Georgia" w:cs="Arial"/>
          <w:sz w:val="22"/>
          <w:szCs w:val="22"/>
          <w:lang w:val="es-MX"/>
        </w:rPr>
        <w:t xml:space="preserve">al </w:t>
      </w:r>
      <w:r w:rsidR="00727BA0" w:rsidRPr="0054545C">
        <w:rPr>
          <w:rFonts w:ascii="Georgia" w:hAnsi="Georgia" w:cs="Arial"/>
          <w:sz w:val="22"/>
          <w:szCs w:val="22"/>
          <w:lang w:val="es-MX"/>
        </w:rPr>
        <w:t>Comité</w:t>
      </w:r>
      <w:r w:rsidRPr="00F463D7">
        <w:rPr>
          <w:rFonts w:ascii="Georgia" w:hAnsi="Georgia" w:cs="Arial"/>
          <w:sz w:val="22"/>
          <w:szCs w:val="22"/>
          <w:lang w:val="es-MX"/>
        </w:rPr>
        <w:t xml:space="preserve">: </w:t>
      </w:r>
      <w:r w:rsidR="0098594E" w:rsidRPr="00F463D7">
        <w:rPr>
          <w:rFonts w:ascii="Georgia" w:hAnsi="Georgia" w:cs="Arial"/>
          <w:sz w:val="22"/>
          <w:szCs w:val="22"/>
          <w:lang w:val="es-MX"/>
        </w:rPr>
        <w:t>30</w:t>
      </w:r>
      <w:r w:rsidRPr="00F463D7">
        <w:rPr>
          <w:rFonts w:ascii="Georgia" w:hAnsi="Georgia" w:cs="Arial"/>
          <w:sz w:val="22"/>
          <w:szCs w:val="22"/>
          <w:lang w:val="es-MX"/>
        </w:rPr>
        <w:t>.</w:t>
      </w:r>
    </w:p>
    <w:p w14:paraId="72B55BDA" w14:textId="77777777" w:rsidR="006B2765" w:rsidRPr="0054545C" w:rsidRDefault="006B2765" w:rsidP="006B2765">
      <w:pPr>
        <w:ind w:left="1440"/>
        <w:jc w:val="both"/>
        <w:rPr>
          <w:rFonts w:ascii="Georgia" w:hAnsi="Georgia" w:cs="Arial"/>
          <w:b/>
          <w:sz w:val="22"/>
          <w:szCs w:val="22"/>
          <w:lang w:val="es-MX"/>
        </w:rPr>
      </w:pPr>
    </w:p>
    <w:p w14:paraId="3291B933" w14:textId="77777777" w:rsidR="008068C9" w:rsidRPr="00F463D7" w:rsidRDefault="008068C9" w:rsidP="008068C9">
      <w:pPr>
        <w:numPr>
          <w:ilvl w:val="1"/>
          <w:numId w:val="5"/>
        </w:numPr>
        <w:jc w:val="both"/>
        <w:rPr>
          <w:rFonts w:ascii="Georgia" w:hAnsi="Georgia" w:cs="Arial"/>
          <w:sz w:val="22"/>
          <w:szCs w:val="22"/>
          <w:lang w:val="es-MX"/>
        </w:rPr>
      </w:pPr>
      <w:r w:rsidRPr="0054545C">
        <w:rPr>
          <w:rFonts w:ascii="Georgia" w:hAnsi="Georgia" w:cs="Arial"/>
          <w:sz w:val="22"/>
          <w:szCs w:val="22"/>
          <w:lang w:val="es-MX"/>
        </w:rPr>
        <w:t>Clasificaciones de información</w:t>
      </w:r>
      <w:r w:rsidR="00640E48" w:rsidRPr="0054545C">
        <w:rPr>
          <w:rFonts w:ascii="Georgia" w:hAnsi="Georgia" w:cs="Arial"/>
          <w:sz w:val="22"/>
          <w:szCs w:val="22"/>
          <w:lang w:val="es-MX"/>
        </w:rPr>
        <w:t xml:space="preserve"> resueltas</w:t>
      </w:r>
      <w:r w:rsidRPr="00F463D7">
        <w:rPr>
          <w:rFonts w:ascii="Georgia" w:hAnsi="Georgia" w:cs="Arial"/>
          <w:sz w:val="22"/>
          <w:szCs w:val="22"/>
          <w:lang w:val="es-MX"/>
        </w:rPr>
        <w:t>:</w:t>
      </w:r>
      <w:r w:rsidR="00350507" w:rsidRPr="00F463D7">
        <w:rPr>
          <w:rFonts w:ascii="Georgia" w:hAnsi="Georgia" w:cs="Arial"/>
          <w:sz w:val="22"/>
          <w:szCs w:val="22"/>
          <w:lang w:val="es-MX"/>
        </w:rPr>
        <w:t xml:space="preserve"> </w:t>
      </w:r>
      <w:r w:rsidR="0098594E" w:rsidRPr="00F463D7">
        <w:rPr>
          <w:rFonts w:ascii="Georgia" w:hAnsi="Georgia" w:cs="Arial"/>
          <w:sz w:val="22"/>
          <w:szCs w:val="22"/>
          <w:lang w:val="es-MX"/>
        </w:rPr>
        <w:t>24</w:t>
      </w:r>
      <w:r w:rsidRPr="00F463D7">
        <w:rPr>
          <w:rFonts w:ascii="Georgia" w:hAnsi="Georgia" w:cs="Arial"/>
          <w:sz w:val="22"/>
          <w:szCs w:val="22"/>
          <w:lang w:val="es-MX"/>
        </w:rPr>
        <w:t>.</w:t>
      </w:r>
    </w:p>
    <w:p w14:paraId="1B7AAEE0" w14:textId="77777777" w:rsidR="008068C9" w:rsidRPr="0054545C" w:rsidRDefault="008068C9" w:rsidP="008068C9">
      <w:pPr>
        <w:pStyle w:val="Prrafodelista"/>
        <w:jc w:val="both"/>
        <w:rPr>
          <w:rFonts w:ascii="Georgia" w:hAnsi="Georgia" w:cs="Arial"/>
          <w:b/>
          <w:sz w:val="22"/>
          <w:szCs w:val="22"/>
        </w:rPr>
      </w:pPr>
    </w:p>
    <w:p w14:paraId="4C937694" w14:textId="77777777" w:rsidR="008068C9" w:rsidRPr="0054545C" w:rsidRDefault="008068C9" w:rsidP="008068C9">
      <w:pPr>
        <w:pStyle w:val="Prrafodelista"/>
        <w:jc w:val="both"/>
        <w:rPr>
          <w:rFonts w:ascii="Georgia" w:hAnsi="Georgia" w:cs="Arial"/>
          <w:b/>
          <w:sz w:val="22"/>
          <w:szCs w:val="22"/>
        </w:rPr>
      </w:pPr>
    </w:p>
    <w:p w14:paraId="5038F63D" w14:textId="77777777" w:rsidR="008068C9" w:rsidRPr="0054545C" w:rsidRDefault="00417C2B" w:rsidP="008068C9">
      <w:pPr>
        <w:pStyle w:val="Prrafodelista"/>
        <w:numPr>
          <w:ilvl w:val="0"/>
          <w:numId w:val="6"/>
        </w:numPr>
        <w:contextualSpacing w:val="0"/>
        <w:jc w:val="both"/>
        <w:rPr>
          <w:rFonts w:ascii="Georgia" w:hAnsi="Georgia" w:cs="Arial"/>
          <w:b/>
          <w:sz w:val="22"/>
          <w:szCs w:val="22"/>
        </w:rPr>
      </w:pPr>
      <w:r w:rsidRPr="0054545C">
        <w:rPr>
          <w:rFonts w:ascii="Georgia" w:hAnsi="Georgia" w:cs="Arial"/>
          <w:b/>
          <w:sz w:val="22"/>
          <w:szCs w:val="22"/>
        </w:rPr>
        <w:t>Comité Especializado</w:t>
      </w:r>
      <w:r w:rsidR="008068C9" w:rsidRPr="0054545C">
        <w:rPr>
          <w:rFonts w:ascii="Georgia" w:hAnsi="Georgia" w:cs="Arial"/>
          <w:b/>
          <w:sz w:val="22"/>
          <w:szCs w:val="22"/>
        </w:rPr>
        <w:t>.</w:t>
      </w:r>
    </w:p>
    <w:p w14:paraId="344B6045" w14:textId="77777777" w:rsidR="008068C9" w:rsidRPr="0054545C" w:rsidRDefault="008068C9" w:rsidP="008068C9">
      <w:pPr>
        <w:pStyle w:val="Prrafodelista"/>
        <w:rPr>
          <w:rFonts w:ascii="Georgia" w:hAnsi="Georgia" w:cs="Arial"/>
          <w:sz w:val="22"/>
          <w:szCs w:val="22"/>
        </w:rPr>
      </w:pPr>
    </w:p>
    <w:p w14:paraId="4AB9164D" w14:textId="77777777" w:rsidR="008068C9" w:rsidRPr="00F463D7" w:rsidRDefault="008068C9" w:rsidP="008068C9">
      <w:pPr>
        <w:numPr>
          <w:ilvl w:val="1"/>
          <w:numId w:val="5"/>
        </w:numPr>
        <w:jc w:val="both"/>
        <w:rPr>
          <w:rFonts w:ascii="Georgia" w:hAnsi="Georgia" w:cs="Arial"/>
          <w:sz w:val="22"/>
          <w:szCs w:val="22"/>
        </w:rPr>
      </w:pPr>
      <w:proofErr w:type="spellStart"/>
      <w:r w:rsidRPr="0054545C">
        <w:rPr>
          <w:rFonts w:ascii="Georgia" w:hAnsi="Georgia" w:cs="Arial"/>
          <w:sz w:val="22"/>
          <w:szCs w:val="22"/>
        </w:rPr>
        <w:t>Recursos</w:t>
      </w:r>
      <w:proofErr w:type="spellEnd"/>
      <w:r w:rsidRPr="0054545C">
        <w:rPr>
          <w:rFonts w:ascii="Georgia" w:hAnsi="Georgia" w:cs="Arial"/>
          <w:sz w:val="22"/>
          <w:szCs w:val="22"/>
        </w:rPr>
        <w:t xml:space="preserve"> de </w:t>
      </w:r>
      <w:proofErr w:type="spellStart"/>
      <w:r w:rsidR="008956EE" w:rsidRPr="0054545C">
        <w:rPr>
          <w:rFonts w:ascii="Georgia" w:hAnsi="Georgia" w:cs="Arial"/>
          <w:sz w:val="22"/>
          <w:szCs w:val="22"/>
        </w:rPr>
        <w:t>r</w:t>
      </w:r>
      <w:r w:rsidRPr="0054545C">
        <w:rPr>
          <w:rFonts w:ascii="Georgia" w:hAnsi="Georgia" w:cs="Arial"/>
          <w:sz w:val="22"/>
          <w:szCs w:val="22"/>
        </w:rPr>
        <w:t>evisión</w:t>
      </w:r>
      <w:proofErr w:type="spellEnd"/>
      <w:r w:rsidRPr="0054545C">
        <w:rPr>
          <w:rFonts w:ascii="Georgia" w:hAnsi="Georgia" w:cs="Arial"/>
          <w:sz w:val="22"/>
          <w:szCs w:val="22"/>
        </w:rPr>
        <w:t xml:space="preserve"> </w:t>
      </w:r>
      <w:proofErr w:type="spellStart"/>
      <w:r w:rsidRPr="00F463D7">
        <w:rPr>
          <w:rFonts w:ascii="Georgia" w:hAnsi="Georgia" w:cs="Arial"/>
          <w:sz w:val="22"/>
          <w:szCs w:val="22"/>
        </w:rPr>
        <w:t>interpuestos</w:t>
      </w:r>
      <w:proofErr w:type="spellEnd"/>
      <w:r w:rsidRPr="00F463D7">
        <w:rPr>
          <w:rFonts w:ascii="Georgia" w:hAnsi="Georgia" w:cs="Arial"/>
          <w:sz w:val="22"/>
          <w:szCs w:val="22"/>
        </w:rPr>
        <w:t xml:space="preserve">: </w:t>
      </w:r>
      <w:r w:rsidR="0098594E" w:rsidRPr="00F463D7">
        <w:rPr>
          <w:rFonts w:ascii="Georgia" w:hAnsi="Georgia" w:cs="Arial"/>
          <w:sz w:val="22"/>
          <w:szCs w:val="22"/>
        </w:rPr>
        <w:t>0</w:t>
      </w:r>
      <w:r w:rsidRPr="00F463D7">
        <w:rPr>
          <w:rFonts w:ascii="Georgia" w:hAnsi="Georgia" w:cs="Arial"/>
          <w:sz w:val="22"/>
          <w:szCs w:val="22"/>
        </w:rPr>
        <w:t>.</w:t>
      </w:r>
    </w:p>
    <w:p w14:paraId="39995CA4" w14:textId="77777777" w:rsidR="00693E25" w:rsidRPr="0054545C" w:rsidRDefault="00693E25" w:rsidP="00693E25">
      <w:pPr>
        <w:ind w:left="1440"/>
        <w:jc w:val="both"/>
        <w:rPr>
          <w:rFonts w:asciiTheme="majorHAnsi" w:hAnsiTheme="majorHAnsi" w:cs="Arial"/>
          <w:sz w:val="22"/>
          <w:szCs w:val="22"/>
          <w:lang w:val="es-MX"/>
        </w:rPr>
      </w:pPr>
    </w:p>
    <w:p w14:paraId="4B83E328" w14:textId="77777777" w:rsidR="00693E25" w:rsidRPr="00F463D7" w:rsidRDefault="00693E25" w:rsidP="00693E25">
      <w:pPr>
        <w:numPr>
          <w:ilvl w:val="1"/>
          <w:numId w:val="5"/>
        </w:numPr>
        <w:jc w:val="both"/>
        <w:rPr>
          <w:rFonts w:asciiTheme="majorHAnsi" w:hAnsiTheme="majorHAnsi" w:cs="Arial"/>
          <w:sz w:val="22"/>
          <w:szCs w:val="22"/>
          <w:lang w:val="es-MX"/>
        </w:rPr>
      </w:pPr>
      <w:r w:rsidRPr="0054545C">
        <w:rPr>
          <w:rFonts w:asciiTheme="majorHAnsi" w:hAnsiTheme="majorHAnsi" w:cs="Arial"/>
          <w:sz w:val="22"/>
          <w:szCs w:val="22"/>
          <w:lang w:val="es-MX"/>
        </w:rPr>
        <w:t xml:space="preserve">Recursos de </w:t>
      </w:r>
      <w:r w:rsidR="008956EE" w:rsidRPr="0054545C">
        <w:rPr>
          <w:rFonts w:asciiTheme="majorHAnsi" w:hAnsiTheme="majorHAnsi" w:cs="Arial"/>
          <w:sz w:val="22"/>
          <w:szCs w:val="22"/>
          <w:lang w:val="es-MX"/>
        </w:rPr>
        <w:t>r</w:t>
      </w:r>
      <w:r w:rsidRPr="0054545C">
        <w:rPr>
          <w:rFonts w:asciiTheme="majorHAnsi" w:hAnsiTheme="majorHAnsi" w:cs="Arial"/>
          <w:sz w:val="22"/>
          <w:szCs w:val="22"/>
          <w:lang w:val="es-MX"/>
        </w:rPr>
        <w:t xml:space="preserve">evisión promovidos en contra de resoluciones del Comité de </w:t>
      </w:r>
      <w:r w:rsidR="00417C2B" w:rsidRPr="0054545C">
        <w:rPr>
          <w:rFonts w:asciiTheme="majorHAnsi" w:hAnsiTheme="majorHAnsi" w:cs="Arial"/>
          <w:sz w:val="22"/>
          <w:szCs w:val="22"/>
          <w:lang w:val="es-MX"/>
        </w:rPr>
        <w:t>Transparencia</w:t>
      </w:r>
      <w:r w:rsidRPr="00F463D7">
        <w:rPr>
          <w:rFonts w:asciiTheme="majorHAnsi" w:hAnsiTheme="majorHAnsi" w:cs="Arial"/>
          <w:sz w:val="22"/>
          <w:szCs w:val="22"/>
          <w:lang w:val="es-MX"/>
        </w:rPr>
        <w:t xml:space="preserve">: </w:t>
      </w:r>
      <w:r w:rsidR="0098594E" w:rsidRPr="00F463D7">
        <w:rPr>
          <w:rFonts w:asciiTheme="majorHAnsi" w:hAnsiTheme="majorHAnsi" w:cs="Arial"/>
          <w:sz w:val="22"/>
          <w:szCs w:val="22"/>
          <w:lang w:val="es-MX"/>
        </w:rPr>
        <w:t>0</w:t>
      </w:r>
      <w:r w:rsidRPr="00F463D7">
        <w:rPr>
          <w:rFonts w:asciiTheme="majorHAnsi" w:hAnsiTheme="majorHAnsi" w:cs="Arial"/>
          <w:sz w:val="22"/>
          <w:szCs w:val="22"/>
          <w:lang w:val="es-MX"/>
        </w:rPr>
        <w:t>.</w:t>
      </w:r>
    </w:p>
    <w:p w14:paraId="1DAE5EBC" w14:textId="77777777" w:rsidR="003640DF" w:rsidRPr="008068C9" w:rsidRDefault="003640DF" w:rsidP="00E7254D">
      <w:pPr>
        <w:pStyle w:val="Lugaryfecha"/>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2D91A" w14:textId="77777777" w:rsidR="00173ABF" w:rsidRDefault="00173ABF" w:rsidP="000B572B">
      <w:r>
        <w:separator/>
      </w:r>
    </w:p>
  </w:endnote>
  <w:endnote w:type="continuationSeparator" w:id="0">
    <w:p w14:paraId="6B74717F" w14:textId="77777777" w:rsidR="00173ABF" w:rsidRDefault="00173ABF"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11284"/>
      <w:docPartObj>
        <w:docPartGallery w:val="Page Numbers (Bottom of Page)"/>
        <w:docPartUnique/>
      </w:docPartObj>
    </w:sdtPr>
    <w:sdtEndPr>
      <w:rPr>
        <w:sz w:val="20"/>
      </w:rPr>
    </w:sdtEndPr>
    <w:sdtContent>
      <w:p w14:paraId="70CF59BD"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5DB29DF8"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88B2" w14:textId="77777777" w:rsidR="003E4A06" w:rsidRDefault="00173ABF">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3626E03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84F35" w14:textId="77777777" w:rsidR="00173ABF" w:rsidRDefault="00173ABF" w:rsidP="000B572B">
      <w:r>
        <w:separator/>
      </w:r>
    </w:p>
  </w:footnote>
  <w:footnote w:type="continuationSeparator" w:id="0">
    <w:p w14:paraId="3E7374FA" w14:textId="77777777" w:rsidR="00173ABF" w:rsidRDefault="00173ABF" w:rsidP="000B572B">
      <w:r>
        <w:continuationSeparator/>
      </w:r>
    </w:p>
  </w:footnote>
  <w:footnote w:id="1">
    <w:p w14:paraId="503F834A" w14:textId="77777777"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1E7E03">
        <w:rPr>
          <w:rFonts w:ascii="Arial" w:hAnsi="Arial" w:cs="Arial"/>
          <w:sz w:val="16"/>
          <w:szCs w:val="16"/>
          <w:lang w:val="es-MX"/>
        </w:rPr>
        <w:t xml:space="preserve">procedimiento </w:t>
      </w:r>
      <w:r w:rsidRPr="00965E3C">
        <w:rPr>
          <w:rFonts w:ascii="Arial" w:hAnsi="Arial" w:cs="Arial"/>
          <w:sz w:val="16"/>
          <w:szCs w:val="16"/>
          <w:lang w:val="es-MX"/>
        </w:rPr>
        <w:t xml:space="preserve">sumario </w:t>
      </w:r>
      <w:r w:rsidR="004B3F0A" w:rsidRPr="00965E3C">
        <w:rPr>
          <w:rFonts w:ascii="Arial" w:hAnsi="Arial" w:cs="Arial"/>
          <w:sz w:val="16"/>
          <w:szCs w:val="16"/>
          <w:lang w:val="es-MX"/>
        </w:rPr>
        <w:t>(</w:t>
      </w:r>
      <w:r w:rsidR="008244AC" w:rsidRPr="00965E3C">
        <w:rPr>
          <w:rFonts w:ascii="Arial" w:hAnsi="Arial" w:cs="Arial"/>
          <w:sz w:val="16"/>
          <w:szCs w:val="16"/>
          <w:lang w:val="es-MX"/>
        </w:rPr>
        <w:t>4</w:t>
      </w:r>
      <w:r w:rsidR="00966A4C" w:rsidRPr="00965E3C">
        <w:rPr>
          <w:rFonts w:ascii="Arial" w:hAnsi="Arial" w:cs="Arial"/>
          <w:sz w:val="16"/>
          <w:szCs w:val="16"/>
          <w:lang w:val="es-MX"/>
        </w:rPr>
        <w:t>,</w:t>
      </w:r>
      <w:r w:rsidR="00E41B20" w:rsidRPr="00965E3C">
        <w:rPr>
          <w:rFonts w:ascii="Arial" w:hAnsi="Arial" w:cs="Arial"/>
          <w:sz w:val="16"/>
          <w:szCs w:val="16"/>
          <w:lang w:val="es-MX"/>
        </w:rPr>
        <w:t>1</w:t>
      </w:r>
      <w:r w:rsidR="008244AC" w:rsidRPr="00965E3C">
        <w:rPr>
          <w:rFonts w:ascii="Arial" w:hAnsi="Arial" w:cs="Arial"/>
          <w:sz w:val="16"/>
          <w:szCs w:val="16"/>
          <w:lang w:val="es-MX"/>
        </w:rPr>
        <w:t>58</w:t>
      </w:r>
      <w:r w:rsidR="001D3A45" w:rsidRPr="00965E3C">
        <w:rPr>
          <w:rFonts w:ascii="Arial" w:hAnsi="Arial" w:cs="Arial"/>
          <w:sz w:val="16"/>
          <w:szCs w:val="16"/>
          <w:lang w:val="es-MX"/>
        </w:rPr>
        <w:t>)</w:t>
      </w:r>
      <w:r w:rsidR="001D3A45" w:rsidRPr="001E7E03">
        <w:rPr>
          <w:rFonts w:ascii="Arial" w:hAnsi="Arial" w:cs="Arial"/>
          <w:sz w:val="16"/>
          <w:szCs w:val="16"/>
          <w:lang w:val="es-MX"/>
        </w:rPr>
        <w:t xml:space="preserve"> de </w:t>
      </w:r>
      <w:r w:rsidR="00154234">
        <w:rPr>
          <w:rFonts w:ascii="Arial" w:hAnsi="Arial" w:cs="Arial"/>
          <w:sz w:val="16"/>
          <w:szCs w:val="16"/>
          <w:lang w:val="es-MX"/>
        </w:rPr>
        <w:t>Abril</w:t>
      </w:r>
      <w:r w:rsidR="00551928" w:rsidRPr="001E7E03">
        <w:rPr>
          <w:rFonts w:ascii="Arial" w:hAnsi="Arial" w:cs="Arial"/>
          <w:sz w:val="16"/>
          <w:szCs w:val="16"/>
          <w:lang w:val="es-MX"/>
        </w:rPr>
        <w:t xml:space="preserve"> a </w:t>
      </w:r>
      <w:proofErr w:type="gramStart"/>
      <w:r w:rsidR="00154234">
        <w:rPr>
          <w:rFonts w:ascii="Arial" w:hAnsi="Arial" w:cs="Arial"/>
          <w:sz w:val="16"/>
          <w:szCs w:val="16"/>
          <w:lang w:val="es-MX"/>
        </w:rPr>
        <w:t>Juni</w:t>
      </w:r>
      <w:r w:rsidR="00BD7D0D" w:rsidRPr="001E7E03">
        <w:rPr>
          <w:rFonts w:ascii="Arial" w:hAnsi="Arial" w:cs="Arial"/>
          <w:sz w:val="16"/>
          <w:szCs w:val="16"/>
          <w:lang w:val="es-MX"/>
        </w:rPr>
        <w:t>o</w:t>
      </w:r>
      <w:proofErr w:type="gramEnd"/>
      <w:r w:rsidR="009E3D84" w:rsidRPr="001E7E03">
        <w:rPr>
          <w:rFonts w:ascii="Arial" w:hAnsi="Arial" w:cs="Arial"/>
          <w:sz w:val="16"/>
          <w:szCs w:val="16"/>
          <w:lang w:val="es-MX"/>
        </w:rPr>
        <w:t xml:space="preserve"> de 20</w:t>
      </w:r>
      <w:r w:rsidR="00BD7D0D" w:rsidRPr="001E7E03">
        <w:rPr>
          <w:rFonts w:ascii="Arial" w:hAnsi="Arial" w:cs="Arial"/>
          <w:sz w:val="16"/>
          <w:szCs w:val="16"/>
          <w:lang w:val="es-MX"/>
        </w:rPr>
        <w:t>20</w:t>
      </w:r>
      <w:r w:rsidRPr="001E7E03">
        <w:rPr>
          <w:rFonts w:ascii="Arial" w:hAnsi="Arial" w:cs="Arial"/>
          <w:sz w:val="16"/>
          <w:szCs w:val="16"/>
          <w:lang w:val="es-MX"/>
        </w:rPr>
        <w:t>,</w:t>
      </w:r>
      <w:r w:rsidRPr="001E7E03">
        <w:rPr>
          <w:rFonts w:ascii="Arial" w:hAnsi="Arial" w:cs="Arial"/>
          <w:b/>
          <w:sz w:val="16"/>
          <w:szCs w:val="16"/>
          <w:lang w:val="es-MX"/>
        </w:rPr>
        <w:t xml:space="preserve"> </w:t>
      </w:r>
      <w:r w:rsidRPr="001E7E03">
        <w:rPr>
          <w:rFonts w:ascii="Arial" w:hAnsi="Arial" w:cs="Arial"/>
          <w:sz w:val="16"/>
          <w:szCs w:val="16"/>
          <w:lang w:val="es-MX"/>
        </w:rPr>
        <w:t xml:space="preserve">número solicitudes tramitadas mediante procedimiento </w:t>
      </w:r>
      <w:r w:rsidRPr="00965E3C">
        <w:rPr>
          <w:rFonts w:ascii="Arial" w:hAnsi="Arial" w:cs="Arial"/>
          <w:sz w:val="16"/>
          <w:szCs w:val="16"/>
          <w:lang w:val="es-MX"/>
        </w:rPr>
        <w:t xml:space="preserve">ordinario </w:t>
      </w:r>
      <w:r w:rsidR="004B3F0A" w:rsidRPr="00965E3C">
        <w:rPr>
          <w:rFonts w:ascii="Arial" w:hAnsi="Arial" w:cs="Arial"/>
          <w:sz w:val="16"/>
          <w:szCs w:val="16"/>
          <w:lang w:val="es-MX"/>
        </w:rPr>
        <w:t>(</w:t>
      </w:r>
      <w:r w:rsidR="00E87B65" w:rsidRPr="00965E3C">
        <w:rPr>
          <w:rFonts w:ascii="Arial" w:hAnsi="Arial" w:cs="Arial"/>
          <w:sz w:val="16"/>
          <w:szCs w:val="16"/>
          <w:lang w:val="es-MX"/>
        </w:rPr>
        <w:t>232</w:t>
      </w:r>
      <w:r w:rsidR="004B3F0A" w:rsidRPr="00965E3C">
        <w:rPr>
          <w:rFonts w:ascii="Arial" w:hAnsi="Arial" w:cs="Arial"/>
          <w:sz w:val="16"/>
          <w:szCs w:val="16"/>
          <w:lang w:val="es-MX"/>
        </w:rPr>
        <w:t xml:space="preserve">) </w:t>
      </w:r>
      <w:r w:rsidRPr="00965E3C">
        <w:rPr>
          <w:rFonts w:ascii="Arial" w:hAnsi="Arial" w:cs="Arial"/>
          <w:sz w:val="16"/>
          <w:szCs w:val="16"/>
          <w:lang w:val="es-MX"/>
        </w:rPr>
        <w:t>durante</w:t>
      </w:r>
      <w:r w:rsidRPr="001E7E03">
        <w:rPr>
          <w:rFonts w:ascii="Arial" w:hAnsi="Arial" w:cs="Arial"/>
          <w:sz w:val="16"/>
          <w:szCs w:val="16"/>
          <w:lang w:val="es-MX"/>
        </w:rPr>
        <w:t xml:space="preserve"> el mismo periodo.</w:t>
      </w:r>
      <w:r w:rsidRPr="00972F9F">
        <w:rPr>
          <w:rFonts w:ascii="Arial" w:hAnsi="Arial" w:cs="Arial"/>
          <w:sz w:val="16"/>
          <w:szCs w:val="16"/>
          <w:lang w:val="es-MX"/>
        </w:rPr>
        <w:t xml:space="preserve"> </w:t>
      </w:r>
    </w:p>
    <w:p w14:paraId="2F9C81BB" w14:textId="77777777" w:rsidR="0017624E" w:rsidRPr="00972F9F" w:rsidRDefault="0017624E" w:rsidP="00875D0D">
      <w:pPr>
        <w:ind w:left="360"/>
        <w:jc w:val="both"/>
        <w:rPr>
          <w:rFonts w:ascii="Arial" w:hAnsi="Arial" w:cs="Arial"/>
          <w:sz w:val="16"/>
          <w:szCs w:val="16"/>
          <w:lang w:val="es-MX"/>
        </w:rPr>
      </w:pPr>
    </w:p>
    <w:p w14:paraId="2229A03A"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proofErr w:type="gramStart"/>
      <w:r w:rsidRPr="00421584">
        <w:rPr>
          <w:rFonts w:ascii="Arial" w:hAnsi="Arial" w:cs="Arial"/>
          <w:sz w:val="16"/>
          <w:szCs w:val="16"/>
        </w:rPr>
        <w:t>que</w:t>
      </w:r>
      <w:proofErr w:type="gramEnd"/>
      <w:r w:rsidRPr="00421584">
        <w:rPr>
          <w:rFonts w:ascii="Arial" w:hAnsi="Arial" w:cs="Arial"/>
          <w:sz w:val="16"/>
          <w:szCs w:val="16"/>
        </w:rPr>
        <w:t xml:space="preserve"> a mayor porcentaje de sumarios, resultará mayor la disponibilidad de información en medios de acceso público.</w:t>
      </w:r>
    </w:p>
  </w:footnote>
  <w:footnote w:id="2">
    <w:p w14:paraId="31F49AE0"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0FE659FF"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13173E37"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proofErr w:type="gramStart"/>
      <w:r w:rsidRPr="00421584">
        <w:rPr>
          <w:rFonts w:ascii="Arial" w:hAnsi="Arial" w:cs="Arial"/>
          <w:sz w:val="16"/>
          <w:szCs w:val="16"/>
        </w:rPr>
        <w:t>sumario,</w:t>
      </w:r>
      <w:proofErr w:type="gramEnd"/>
      <w:r w:rsidRPr="00421584">
        <w:rPr>
          <w:rFonts w:ascii="Arial" w:hAnsi="Arial" w:cs="Arial"/>
          <w:sz w:val="16"/>
          <w:szCs w:val="16"/>
        </w:rPr>
        <w:t xml:space="preserve"> determinará la ciudad con mayor carga de trabajo en este rubro.</w:t>
      </w:r>
    </w:p>
    <w:p w14:paraId="7DBA8EC1"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8435CD0" w14:textId="7733D737" w:rsidR="00966A4C" w:rsidRPr="005D7378" w:rsidRDefault="00BE6BBF" w:rsidP="00E57C2F">
      <w:pPr>
        <w:pStyle w:val="Textonotapie"/>
        <w:rPr>
          <w:rFonts w:asciiTheme="minorHAnsi" w:hAnsiTheme="minorHAnsi" w:cstheme="minorHAnsi"/>
          <w:sz w:val="16"/>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B5704B">
        <w:rPr>
          <w:rFonts w:asciiTheme="minorHAnsi" w:hAnsiTheme="minorHAnsi" w:cstheme="minorHAnsi"/>
          <w:sz w:val="16"/>
        </w:rPr>
        <w:t xml:space="preserve">a </w:t>
      </w:r>
      <w:r w:rsidR="00D02137" w:rsidRPr="00965E3C">
        <w:rPr>
          <w:rFonts w:asciiTheme="minorHAnsi" w:hAnsiTheme="minorHAnsi" w:cstheme="minorHAnsi"/>
          <w:sz w:val="16"/>
        </w:rPr>
        <w:t xml:space="preserve">las </w:t>
      </w:r>
      <w:r w:rsidR="0038473D" w:rsidRPr="00965E3C">
        <w:rPr>
          <w:rFonts w:asciiTheme="minorHAnsi" w:hAnsiTheme="minorHAnsi" w:cstheme="minorHAnsi"/>
          <w:sz w:val="16"/>
        </w:rPr>
        <w:t>70</w:t>
      </w:r>
      <w:r w:rsidR="00D02137" w:rsidRPr="00B5704B">
        <w:rPr>
          <w:rFonts w:asciiTheme="minorHAnsi" w:hAnsiTheme="minorHAnsi" w:cstheme="minorHAnsi"/>
          <w:sz w:val="16"/>
        </w:rPr>
        <w:t xml:space="preserve"> consultas de información legislativa y </w:t>
      </w:r>
      <w:proofErr w:type="spellStart"/>
      <w:r w:rsidR="00D02137" w:rsidRPr="00B5704B">
        <w:rPr>
          <w:rFonts w:asciiTheme="minorHAnsi" w:hAnsiTheme="minorHAnsi" w:cstheme="minorHAnsi"/>
          <w:sz w:val="16"/>
        </w:rPr>
        <w:t>bibliohemer</w:t>
      </w:r>
      <w:r w:rsidR="00894002" w:rsidRPr="00B5704B">
        <w:rPr>
          <w:rFonts w:asciiTheme="minorHAnsi" w:hAnsiTheme="minorHAnsi" w:cstheme="minorHAnsi"/>
          <w:sz w:val="16"/>
        </w:rPr>
        <w:t>ográfica</w:t>
      </w:r>
      <w:proofErr w:type="spellEnd"/>
      <w:r w:rsidR="00894002" w:rsidRPr="00B5704B">
        <w:rPr>
          <w:rFonts w:asciiTheme="minorHAnsi" w:hAnsiTheme="minorHAnsi" w:cstheme="minorHAnsi"/>
          <w:sz w:val="16"/>
        </w:rPr>
        <w:t xml:space="preserve"> en la Ciudad de México</w:t>
      </w:r>
      <w:r w:rsidR="004101B4" w:rsidRPr="00B5704B">
        <w:rPr>
          <w:rFonts w:asciiTheme="minorHAnsi" w:hAnsiTheme="minorHAnsi" w:cstheme="minorHAnsi"/>
          <w:sz w:val="16"/>
        </w:rPr>
        <w:t xml:space="preserve">, </w:t>
      </w:r>
      <w:r w:rsidR="00D02137" w:rsidRPr="00B5704B">
        <w:rPr>
          <w:rFonts w:asciiTheme="minorHAnsi" w:hAnsiTheme="minorHAnsi" w:cstheme="minorHAnsi"/>
          <w:sz w:val="16"/>
        </w:rPr>
        <w:t xml:space="preserve">representan los </w:t>
      </w:r>
      <w:r w:rsidR="0038473D" w:rsidRPr="00965E3C">
        <w:rPr>
          <w:rFonts w:asciiTheme="minorHAnsi" w:hAnsiTheme="minorHAnsi" w:cstheme="minorHAnsi"/>
          <w:sz w:val="16"/>
        </w:rPr>
        <w:t>4</w:t>
      </w:r>
      <w:r w:rsidR="00066153" w:rsidRPr="00965E3C">
        <w:rPr>
          <w:rFonts w:asciiTheme="minorHAnsi" w:hAnsiTheme="minorHAnsi" w:cstheme="minorHAnsi"/>
          <w:sz w:val="16"/>
        </w:rPr>
        <w:t>,1</w:t>
      </w:r>
      <w:r w:rsidR="0038473D" w:rsidRPr="00965E3C">
        <w:rPr>
          <w:rFonts w:asciiTheme="minorHAnsi" w:hAnsiTheme="minorHAnsi" w:cstheme="minorHAnsi"/>
          <w:sz w:val="16"/>
        </w:rPr>
        <w:t>58</w:t>
      </w:r>
      <w:r w:rsidR="00D02137" w:rsidRPr="00965E3C">
        <w:rPr>
          <w:rFonts w:asciiTheme="minorHAnsi" w:hAnsiTheme="minorHAnsi" w:cstheme="minorHAnsi"/>
          <w:sz w:val="16"/>
        </w:rPr>
        <w:t xml:space="preserve"> procedimientos</w:t>
      </w:r>
      <w:r w:rsidR="00D02137" w:rsidRPr="00B5704B">
        <w:rPr>
          <w:rFonts w:asciiTheme="minorHAnsi" w:hAnsiTheme="minorHAnsi" w:cstheme="minorHAnsi"/>
          <w:sz w:val="16"/>
        </w:rPr>
        <w:t xml:space="preserve"> sumarios reportados.</w:t>
      </w:r>
    </w:p>
  </w:footnote>
  <w:footnote w:id="4">
    <w:p w14:paraId="6B4C47E4"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686ED5BC" w14:textId="77777777" w:rsidR="00F578C7" w:rsidRPr="00F578C7" w:rsidRDefault="00F578C7" w:rsidP="00F578C7">
      <w:pPr>
        <w:ind w:left="360"/>
        <w:jc w:val="both"/>
        <w:rPr>
          <w:rFonts w:ascii="Arial" w:hAnsi="Arial" w:cs="Arial"/>
          <w:sz w:val="16"/>
          <w:szCs w:val="16"/>
          <w:lang w:val="es-MX"/>
        </w:rPr>
      </w:pPr>
    </w:p>
    <w:p w14:paraId="7F0A7A50"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50035A47" w14:textId="77777777"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135E73">
        <w:rPr>
          <w:rFonts w:ascii="Arial" w:hAnsi="Arial" w:cs="Arial"/>
          <w:sz w:val="16"/>
          <w:szCs w:val="16"/>
          <w:lang w:val="es-MX"/>
        </w:rPr>
        <w:t xml:space="preserve">información </w:t>
      </w:r>
      <w:r w:rsidRPr="00F463D7">
        <w:rPr>
          <w:rFonts w:ascii="Arial" w:hAnsi="Arial" w:cs="Arial"/>
          <w:sz w:val="16"/>
          <w:szCs w:val="16"/>
          <w:lang w:val="es-MX"/>
        </w:rPr>
        <w:t>presentadas</w:t>
      </w:r>
      <w:r w:rsidR="00B6709D" w:rsidRPr="00F463D7">
        <w:rPr>
          <w:rFonts w:ascii="Arial" w:hAnsi="Arial" w:cs="Arial"/>
          <w:sz w:val="16"/>
          <w:szCs w:val="16"/>
          <w:lang w:val="es-MX"/>
        </w:rPr>
        <w:t xml:space="preserve"> (</w:t>
      </w:r>
      <w:r w:rsidR="00C95D74" w:rsidRPr="00F463D7">
        <w:rPr>
          <w:rFonts w:ascii="Arial" w:hAnsi="Arial" w:cs="Arial"/>
          <w:sz w:val="16"/>
          <w:szCs w:val="16"/>
          <w:lang w:val="es-MX"/>
        </w:rPr>
        <w:t>5</w:t>
      </w:r>
      <w:r w:rsidR="00E16213" w:rsidRPr="00F463D7">
        <w:rPr>
          <w:rFonts w:ascii="Arial" w:hAnsi="Arial" w:cs="Arial"/>
          <w:sz w:val="16"/>
          <w:szCs w:val="16"/>
          <w:lang w:val="es-MX"/>
        </w:rPr>
        <w:t>,</w:t>
      </w:r>
      <w:r w:rsidR="003A2CEB" w:rsidRPr="00F463D7">
        <w:rPr>
          <w:rFonts w:ascii="Arial" w:hAnsi="Arial" w:cs="Arial"/>
          <w:sz w:val="16"/>
          <w:szCs w:val="16"/>
          <w:lang w:val="es-MX"/>
        </w:rPr>
        <w:t>4</w:t>
      </w:r>
      <w:r w:rsidR="00C95D74" w:rsidRPr="00F463D7">
        <w:rPr>
          <w:rFonts w:ascii="Arial" w:hAnsi="Arial" w:cs="Arial"/>
          <w:sz w:val="16"/>
          <w:szCs w:val="16"/>
          <w:lang w:val="es-MX"/>
        </w:rPr>
        <w:t>30</w:t>
      </w:r>
      <w:r w:rsidR="00B6709D" w:rsidRPr="00F463D7">
        <w:rPr>
          <w:rFonts w:ascii="Arial" w:hAnsi="Arial" w:cs="Arial"/>
          <w:sz w:val="16"/>
          <w:szCs w:val="16"/>
          <w:lang w:val="es-MX"/>
        </w:rPr>
        <w:t>)</w:t>
      </w:r>
      <w:r w:rsidRPr="00F463D7">
        <w:rPr>
          <w:rFonts w:ascii="Arial" w:hAnsi="Arial" w:cs="Arial"/>
          <w:sz w:val="16"/>
          <w:szCs w:val="16"/>
          <w:lang w:val="es-MX"/>
        </w:rPr>
        <w:t>. Canalizaciones de solicitudes al Consejo de la Judicatura Federal</w:t>
      </w:r>
      <w:r w:rsidR="003C5D50" w:rsidRPr="00F463D7">
        <w:rPr>
          <w:rFonts w:ascii="Arial" w:hAnsi="Arial" w:cs="Arial"/>
          <w:sz w:val="16"/>
          <w:szCs w:val="16"/>
          <w:lang w:val="es-MX"/>
        </w:rPr>
        <w:t xml:space="preserve"> o alguna otra institución pública</w:t>
      </w:r>
      <w:r w:rsidR="00B6709D" w:rsidRPr="00F463D7">
        <w:rPr>
          <w:rFonts w:ascii="Arial" w:hAnsi="Arial" w:cs="Arial"/>
          <w:sz w:val="16"/>
          <w:szCs w:val="16"/>
          <w:lang w:val="es-MX"/>
        </w:rPr>
        <w:t xml:space="preserve"> (</w:t>
      </w:r>
      <w:r w:rsidR="00D360D5" w:rsidRPr="00F463D7">
        <w:rPr>
          <w:rFonts w:ascii="Arial" w:hAnsi="Arial" w:cs="Arial"/>
          <w:sz w:val="16"/>
          <w:szCs w:val="16"/>
          <w:lang w:val="es-MX"/>
        </w:rPr>
        <w:t>1,010</w:t>
      </w:r>
      <w:r w:rsidR="00B6709D" w:rsidRPr="00F463D7">
        <w:rPr>
          <w:rFonts w:ascii="Arial" w:hAnsi="Arial" w:cs="Arial"/>
          <w:sz w:val="16"/>
          <w:szCs w:val="16"/>
          <w:lang w:val="es-MX"/>
        </w:rPr>
        <w:t>)</w:t>
      </w:r>
      <w:r w:rsidRPr="00F463D7">
        <w:rPr>
          <w:rFonts w:ascii="Arial" w:hAnsi="Arial" w:cs="Arial"/>
          <w:sz w:val="16"/>
          <w:szCs w:val="16"/>
          <w:lang w:val="es-MX"/>
        </w:rPr>
        <w:t>. Orientaciones otorgadas a las personas para que acudan a otra dependencia, entidad, órgano de gobierno, institución pública</w:t>
      </w:r>
      <w:r w:rsidR="00B6709D" w:rsidRPr="00F463D7">
        <w:rPr>
          <w:rFonts w:ascii="Arial" w:hAnsi="Arial" w:cs="Arial"/>
          <w:sz w:val="16"/>
          <w:szCs w:val="16"/>
          <w:lang w:val="es-MX"/>
        </w:rPr>
        <w:t xml:space="preserve"> (</w:t>
      </w:r>
      <w:r w:rsidR="00CD2B89" w:rsidRPr="00F463D7">
        <w:rPr>
          <w:rFonts w:ascii="Arial" w:hAnsi="Arial" w:cs="Arial"/>
          <w:sz w:val="16"/>
          <w:szCs w:val="16"/>
          <w:lang w:val="es-MX"/>
        </w:rPr>
        <w:t>8</w:t>
      </w:r>
      <w:r w:rsidR="003A2CEB" w:rsidRPr="00F463D7">
        <w:rPr>
          <w:rFonts w:ascii="Arial" w:hAnsi="Arial" w:cs="Arial"/>
          <w:sz w:val="16"/>
          <w:szCs w:val="16"/>
          <w:lang w:val="es-MX"/>
        </w:rPr>
        <w:t>3</w:t>
      </w:r>
      <w:r w:rsidR="00B6709D" w:rsidRPr="00F463D7">
        <w:rPr>
          <w:rFonts w:ascii="Arial" w:hAnsi="Arial" w:cs="Arial"/>
          <w:sz w:val="16"/>
          <w:szCs w:val="16"/>
          <w:lang w:val="es-MX"/>
        </w:rPr>
        <w:t>)</w:t>
      </w:r>
      <w:r w:rsidRPr="00F463D7">
        <w:rPr>
          <w:rFonts w:ascii="Arial" w:hAnsi="Arial" w:cs="Arial"/>
          <w:sz w:val="16"/>
          <w:szCs w:val="16"/>
          <w:lang w:val="es-MX"/>
        </w:rPr>
        <w:t>, entre otros,</w:t>
      </w:r>
      <w:r w:rsidRPr="0067026B">
        <w:rPr>
          <w:rFonts w:ascii="Arial" w:hAnsi="Arial" w:cs="Arial"/>
          <w:sz w:val="16"/>
          <w:szCs w:val="16"/>
          <w:lang w:val="es-MX"/>
        </w:rPr>
        <w:t xml:space="preserve"> en virtud de que la información que requieren resulta de la competencia de una Unidad de Enlace distinta a la de la Suprema Corte.</w:t>
      </w:r>
    </w:p>
    <w:p w14:paraId="2BAB4284" w14:textId="77777777" w:rsidR="00574F2C" w:rsidRPr="00574F2C" w:rsidRDefault="00574F2C" w:rsidP="00574F2C">
      <w:pPr>
        <w:ind w:left="708"/>
        <w:jc w:val="both"/>
        <w:rPr>
          <w:rFonts w:ascii="Arial" w:hAnsi="Arial" w:cs="Arial"/>
          <w:sz w:val="16"/>
          <w:szCs w:val="16"/>
          <w:lang w:val="es-MX"/>
        </w:rPr>
      </w:pPr>
    </w:p>
    <w:p w14:paraId="64238AEE"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4295C984" w14:textId="77777777"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F463D7">
        <w:rPr>
          <w:rFonts w:ascii="Arial" w:hAnsi="Arial" w:cs="Arial"/>
          <w:sz w:val="16"/>
          <w:szCs w:val="16"/>
          <w:lang w:val="es-MX"/>
        </w:rPr>
        <w:t>ordinario</w:t>
      </w:r>
      <w:r w:rsidR="00B61412" w:rsidRPr="00F463D7">
        <w:rPr>
          <w:rFonts w:ascii="Arial" w:hAnsi="Arial" w:cs="Arial"/>
          <w:sz w:val="16"/>
          <w:szCs w:val="16"/>
          <w:lang w:val="es-MX"/>
        </w:rPr>
        <w:t xml:space="preserve"> (</w:t>
      </w:r>
      <w:r w:rsidR="000A4A7D" w:rsidRPr="00F463D7">
        <w:rPr>
          <w:rFonts w:ascii="Arial" w:hAnsi="Arial" w:cs="Arial"/>
          <w:sz w:val="16"/>
          <w:szCs w:val="16"/>
          <w:lang w:val="es-MX"/>
        </w:rPr>
        <w:t>232</w:t>
      </w:r>
      <w:r w:rsidR="00B61412" w:rsidRPr="00F463D7">
        <w:rPr>
          <w:rFonts w:ascii="Arial" w:hAnsi="Arial" w:cs="Arial"/>
          <w:sz w:val="16"/>
          <w:szCs w:val="16"/>
          <w:lang w:val="es-MX"/>
        </w:rPr>
        <w:t>)</w:t>
      </w:r>
      <w:r w:rsidRPr="00F463D7">
        <w:rPr>
          <w:rFonts w:ascii="Arial" w:hAnsi="Arial" w:cs="Arial"/>
          <w:sz w:val="16"/>
          <w:szCs w:val="16"/>
          <w:lang w:val="es-MX"/>
        </w:rPr>
        <w:t>.</w:t>
      </w:r>
    </w:p>
    <w:p w14:paraId="0760ACDD" w14:textId="77777777" w:rsidR="00574F2C" w:rsidRPr="00574F2C" w:rsidRDefault="00574F2C" w:rsidP="00574F2C">
      <w:pPr>
        <w:ind w:left="360"/>
        <w:jc w:val="both"/>
        <w:rPr>
          <w:rFonts w:ascii="Arial" w:hAnsi="Arial" w:cs="Arial"/>
          <w:sz w:val="16"/>
          <w:szCs w:val="16"/>
          <w:lang w:val="es-MX"/>
        </w:rPr>
      </w:pPr>
    </w:p>
    <w:p w14:paraId="22D460F2"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4897E267" w14:textId="77777777" w:rsidR="00574F2C" w:rsidRPr="00661B86" w:rsidRDefault="00574F2C" w:rsidP="00574F2C">
      <w:pPr>
        <w:pStyle w:val="Textonotapie"/>
        <w:jc w:val="both"/>
        <w:rPr>
          <w:rFonts w:ascii="Arial" w:hAnsi="Arial" w:cs="Arial"/>
          <w:b/>
          <w:sz w:val="16"/>
          <w:szCs w:val="16"/>
        </w:rPr>
      </w:pPr>
    </w:p>
  </w:footnote>
  <w:footnote w:id="7">
    <w:p w14:paraId="05D575F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691C4C51" w14:textId="77777777" w:rsidR="00574F2C" w:rsidRPr="009158D0" w:rsidRDefault="00574F2C" w:rsidP="00574F2C">
      <w:pPr>
        <w:pStyle w:val="Textonotapie"/>
        <w:rPr>
          <w:lang w:val="es-MX"/>
        </w:rPr>
      </w:pPr>
    </w:p>
  </w:footnote>
  <w:footnote w:id="8">
    <w:p w14:paraId="7DA89E5B" w14:textId="77777777"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F463D7">
        <w:rPr>
          <w:rFonts w:ascii="Arial" w:hAnsi="Arial" w:cs="Arial"/>
          <w:sz w:val="16"/>
          <w:szCs w:val="16"/>
          <w:lang w:val="es-MX"/>
        </w:rPr>
        <w:t>(</w:t>
      </w:r>
      <w:r w:rsidR="00902B96" w:rsidRPr="00F463D7">
        <w:rPr>
          <w:rFonts w:ascii="Arial" w:hAnsi="Arial" w:cs="Arial"/>
          <w:sz w:val="16"/>
          <w:szCs w:val="16"/>
          <w:lang w:val="es-MX"/>
        </w:rPr>
        <w:t>232</w:t>
      </w:r>
      <w:r w:rsidR="00B61412" w:rsidRPr="00F463D7">
        <w:rPr>
          <w:rFonts w:ascii="Arial" w:hAnsi="Arial" w:cs="Arial"/>
          <w:sz w:val="16"/>
          <w:szCs w:val="16"/>
          <w:lang w:val="es-MX"/>
        </w:rPr>
        <w:t>)</w:t>
      </w:r>
      <w:r w:rsidR="00D9128B" w:rsidRPr="00F463D7">
        <w:rPr>
          <w:rFonts w:ascii="Arial" w:hAnsi="Arial" w:cs="Arial"/>
          <w:sz w:val="16"/>
          <w:szCs w:val="16"/>
          <w:lang w:val="es-MX"/>
        </w:rPr>
        <w:t xml:space="preserve">, de los cuales </w:t>
      </w:r>
      <w:r w:rsidR="00F81D38" w:rsidRPr="00F463D7">
        <w:rPr>
          <w:rFonts w:ascii="Arial" w:hAnsi="Arial" w:cs="Arial"/>
          <w:sz w:val="16"/>
          <w:szCs w:val="16"/>
          <w:lang w:val="es-MX"/>
        </w:rPr>
        <w:t xml:space="preserve">se turnaron </w:t>
      </w:r>
      <w:r w:rsidR="00902B96" w:rsidRPr="00F463D7">
        <w:rPr>
          <w:rFonts w:ascii="Arial" w:hAnsi="Arial" w:cs="Arial"/>
          <w:sz w:val="16"/>
          <w:szCs w:val="16"/>
          <w:lang w:val="es-MX"/>
        </w:rPr>
        <w:t>30</w:t>
      </w:r>
      <w:r w:rsidR="006B2765" w:rsidRPr="00F463D7">
        <w:rPr>
          <w:rFonts w:ascii="Arial" w:hAnsi="Arial" w:cs="Arial"/>
          <w:sz w:val="16"/>
          <w:szCs w:val="16"/>
          <w:lang w:val="es-MX"/>
        </w:rPr>
        <w:t xml:space="preserve"> al Comité de Transparencia, que por distinto rasgos de conexidad ordenó la acumulación para su análisis en un expediente</w:t>
      </w:r>
      <w:r w:rsidR="006B2765">
        <w:rPr>
          <w:rFonts w:ascii="Arial" w:hAnsi="Arial" w:cs="Arial"/>
          <w:sz w:val="16"/>
          <w:szCs w:val="16"/>
          <w:lang w:val="es-MX"/>
        </w:rPr>
        <w:t>,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48D00E9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70CC37FA"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658C6775"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5669D43C" w14:textId="77777777" w:rsidR="00727BA0" w:rsidRPr="00574F2C" w:rsidRDefault="00727BA0" w:rsidP="00574F2C">
      <w:pPr>
        <w:ind w:left="360"/>
        <w:jc w:val="both"/>
        <w:rPr>
          <w:rFonts w:ascii="Arial" w:hAnsi="Arial" w:cs="Arial"/>
          <w:sz w:val="16"/>
          <w:szCs w:val="16"/>
          <w:lang w:val="es-MX"/>
        </w:rPr>
      </w:pPr>
    </w:p>
    <w:p w14:paraId="34FFEEB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1A516" w14:textId="77777777" w:rsidR="0017624E" w:rsidRDefault="00297BA5">
    <w:pPr>
      <w:pStyle w:val="Encabezado"/>
    </w:pPr>
    <w:r>
      <w:rPr>
        <w:noProof/>
        <w:lang w:val="es-MX" w:eastAsia="es-MX"/>
      </w:rPr>
      <w:drawing>
        <wp:inline distT="0" distB="0" distL="0" distR="0" wp14:anchorId="79A7D563" wp14:editId="36B23D89">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6EEF934C" wp14:editId="77F2C557">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378988D3" wp14:editId="3252E7FC">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FD0F9"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3720C17D" w14:textId="77777777" w:rsidR="00F53901" w:rsidRDefault="00154234" w:rsidP="00F53901">
                          <w:pPr>
                            <w:jc w:val="right"/>
                            <w:rPr>
                              <w:sz w:val="22"/>
                              <w:lang w:val="es-MX"/>
                            </w:rPr>
                          </w:pPr>
                          <w:r>
                            <w:rPr>
                              <w:sz w:val="22"/>
                              <w:lang w:val="es-MX"/>
                            </w:rPr>
                            <w:t>Abril</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Junio</w:t>
                          </w:r>
                          <w:proofErr w:type="gramEnd"/>
                          <w:r w:rsidR="008556DB">
                            <w:rPr>
                              <w:sz w:val="22"/>
                              <w:lang w:val="es-MX"/>
                            </w:rPr>
                            <w:t xml:space="preserve"> de 20</w:t>
                          </w:r>
                          <w:r w:rsidR="00C022EE">
                            <w:rPr>
                              <w:sz w:val="22"/>
                              <w:lang w:val="es-MX"/>
                            </w:rPr>
                            <w:t>20</w:t>
                          </w:r>
                        </w:p>
                        <w:p w14:paraId="7EABBADD" w14:textId="77777777" w:rsidR="008556DB" w:rsidRDefault="008556DB" w:rsidP="00F53901">
                          <w:pPr>
                            <w:jc w:val="right"/>
                            <w:rPr>
                              <w:sz w:val="22"/>
                              <w:lang w:val="es-MX"/>
                            </w:rPr>
                          </w:pPr>
                        </w:p>
                        <w:p w14:paraId="1D2CA40D"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988D3"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" filled="f" stroked="f">
              <v:textbox>
                <w:txbxContent>
                  <w:p w14:paraId="3D9FD0F9"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3720C17D" w14:textId="77777777" w:rsidR="00F53901" w:rsidRDefault="00154234" w:rsidP="00F53901">
                    <w:pPr>
                      <w:jc w:val="right"/>
                      <w:rPr>
                        <w:sz w:val="22"/>
                        <w:lang w:val="es-MX"/>
                      </w:rPr>
                    </w:pPr>
                    <w:r>
                      <w:rPr>
                        <w:sz w:val="22"/>
                        <w:lang w:val="es-MX"/>
                      </w:rPr>
                      <w:t>Abril</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Junio</w:t>
                    </w:r>
                    <w:proofErr w:type="gramEnd"/>
                    <w:r w:rsidR="008556DB">
                      <w:rPr>
                        <w:sz w:val="22"/>
                        <w:lang w:val="es-MX"/>
                      </w:rPr>
                      <w:t xml:space="preserve"> de 20</w:t>
                    </w:r>
                    <w:r w:rsidR="00C022EE">
                      <w:rPr>
                        <w:sz w:val="22"/>
                        <w:lang w:val="es-MX"/>
                      </w:rPr>
                      <w:t>20</w:t>
                    </w:r>
                  </w:p>
                  <w:p w14:paraId="7EABBADD" w14:textId="77777777" w:rsidR="008556DB" w:rsidRDefault="008556DB" w:rsidP="00F53901">
                    <w:pPr>
                      <w:jc w:val="right"/>
                      <w:rPr>
                        <w:sz w:val="22"/>
                        <w:lang w:val="es-MX"/>
                      </w:rPr>
                    </w:pPr>
                  </w:p>
                  <w:p w14:paraId="1D2CA40D"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319A8684" wp14:editId="102732E0">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C8B1"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4AD76256" wp14:editId="43E46877">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8D49E0A" w14:textId="77777777" w:rsidR="0017624E" w:rsidRPr="000166E9" w:rsidRDefault="0017624E" w:rsidP="007039C5">
                          <w:pPr>
                            <w:pStyle w:val="reaemisora"/>
                          </w:pPr>
                        </w:p>
                        <w:p w14:paraId="6FBFBE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29F358B3" w14:textId="77777777" w:rsidR="0017624E" w:rsidRDefault="0017624E" w:rsidP="001C21C1">
                          <w:pPr>
                            <w:pStyle w:val="AREAQUEEMITE"/>
                            <w:rPr>
                              <w:color w:val="172934"/>
                            </w:rPr>
                          </w:pPr>
                        </w:p>
                        <w:p w14:paraId="779E99C6"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76256"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" filled="f" stroked="f">
              <v:textbox inset="0,0,0,0">
                <w:txbxContent>
                  <w:p w14:paraId="58D49E0A" w14:textId="77777777" w:rsidR="0017624E" w:rsidRPr="000166E9" w:rsidRDefault="0017624E" w:rsidP="007039C5">
                    <w:pPr>
                      <w:pStyle w:val="reaemisora"/>
                    </w:pPr>
                  </w:p>
                  <w:p w14:paraId="6FBFBE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29F358B3" w14:textId="77777777" w:rsidR="0017624E" w:rsidRDefault="0017624E" w:rsidP="001C21C1">
                    <w:pPr>
                      <w:pStyle w:val="AREAQUEEMITE"/>
                      <w:rPr>
                        <w:color w:val="172934"/>
                      </w:rPr>
                    </w:pPr>
                  </w:p>
                  <w:p w14:paraId="779E99C6"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C88744C" wp14:editId="09E26400">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D23060D" wp14:editId="53AC0773">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09A6A1BE" wp14:editId="5897BD21">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9"/>
  </w:num>
  <w:num w:numId="7">
    <w:abstractNumId w:val="1"/>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817"/>
    <w:rsid w:val="00035EA7"/>
    <w:rsid w:val="00036847"/>
    <w:rsid w:val="00037D42"/>
    <w:rsid w:val="00040EDA"/>
    <w:rsid w:val="000444B0"/>
    <w:rsid w:val="00044B52"/>
    <w:rsid w:val="000524AB"/>
    <w:rsid w:val="00053856"/>
    <w:rsid w:val="0005446E"/>
    <w:rsid w:val="00055504"/>
    <w:rsid w:val="000557BA"/>
    <w:rsid w:val="00056C08"/>
    <w:rsid w:val="00062098"/>
    <w:rsid w:val="0006388B"/>
    <w:rsid w:val="00064AFC"/>
    <w:rsid w:val="00066153"/>
    <w:rsid w:val="00066602"/>
    <w:rsid w:val="00070C29"/>
    <w:rsid w:val="000713EE"/>
    <w:rsid w:val="0007154F"/>
    <w:rsid w:val="00071D40"/>
    <w:rsid w:val="000735DA"/>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87C"/>
    <w:rsid w:val="000B0385"/>
    <w:rsid w:val="000B1867"/>
    <w:rsid w:val="000B572B"/>
    <w:rsid w:val="000B57DE"/>
    <w:rsid w:val="000B5F2F"/>
    <w:rsid w:val="000B613F"/>
    <w:rsid w:val="000C13BF"/>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11D4D"/>
    <w:rsid w:val="00112589"/>
    <w:rsid w:val="00113DC9"/>
    <w:rsid w:val="00117494"/>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FA1"/>
    <w:rsid w:val="0015393D"/>
    <w:rsid w:val="00154234"/>
    <w:rsid w:val="00157755"/>
    <w:rsid w:val="00163563"/>
    <w:rsid w:val="00165504"/>
    <w:rsid w:val="00166961"/>
    <w:rsid w:val="00167FB2"/>
    <w:rsid w:val="001703BD"/>
    <w:rsid w:val="00171D3A"/>
    <w:rsid w:val="00173ABF"/>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B2535"/>
    <w:rsid w:val="001B25F4"/>
    <w:rsid w:val="001C14BA"/>
    <w:rsid w:val="001C21C1"/>
    <w:rsid w:val="001C262C"/>
    <w:rsid w:val="001C2655"/>
    <w:rsid w:val="001C4193"/>
    <w:rsid w:val="001D15EF"/>
    <w:rsid w:val="001D16FC"/>
    <w:rsid w:val="001D3A45"/>
    <w:rsid w:val="001D66E1"/>
    <w:rsid w:val="001E092B"/>
    <w:rsid w:val="001E30E6"/>
    <w:rsid w:val="001E31A6"/>
    <w:rsid w:val="001E55D7"/>
    <w:rsid w:val="001E5DA2"/>
    <w:rsid w:val="001E61B4"/>
    <w:rsid w:val="001E7E03"/>
    <w:rsid w:val="001F0FB4"/>
    <w:rsid w:val="001F3119"/>
    <w:rsid w:val="001F41D0"/>
    <w:rsid w:val="001F497C"/>
    <w:rsid w:val="001F4C01"/>
    <w:rsid w:val="001F72A0"/>
    <w:rsid w:val="0020117F"/>
    <w:rsid w:val="00201AEC"/>
    <w:rsid w:val="00207569"/>
    <w:rsid w:val="00207DD9"/>
    <w:rsid w:val="00211700"/>
    <w:rsid w:val="002121E4"/>
    <w:rsid w:val="00214077"/>
    <w:rsid w:val="0021411F"/>
    <w:rsid w:val="002154A5"/>
    <w:rsid w:val="002155BE"/>
    <w:rsid w:val="00216077"/>
    <w:rsid w:val="00221244"/>
    <w:rsid w:val="00221792"/>
    <w:rsid w:val="0022279A"/>
    <w:rsid w:val="0022371E"/>
    <w:rsid w:val="00227629"/>
    <w:rsid w:val="00233D83"/>
    <w:rsid w:val="00233FCC"/>
    <w:rsid w:val="0024077E"/>
    <w:rsid w:val="00240AC8"/>
    <w:rsid w:val="002453BB"/>
    <w:rsid w:val="00247C8B"/>
    <w:rsid w:val="00250D73"/>
    <w:rsid w:val="00250E7A"/>
    <w:rsid w:val="00255AE8"/>
    <w:rsid w:val="002561A9"/>
    <w:rsid w:val="00256B43"/>
    <w:rsid w:val="00261C80"/>
    <w:rsid w:val="00263E0D"/>
    <w:rsid w:val="0026477E"/>
    <w:rsid w:val="002715D0"/>
    <w:rsid w:val="0027171A"/>
    <w:rsid w:val="00276BA3"/>
    <w:rsid w:val="00281E04"/>
    <w:rsid w:val="00287F19"/>
    <w:rsid w:val="00292B77"/>
    <w:rsid w:val="002951BE"/>
    <w:rsid w:val="00297BA5"/>
    <w:rsid w:val="002A12E5"/>
    <w:rsid w:val="002A1ECD"/>
    <w:rsid w:val="002A28A8"/>
    <w:rsid w:val="002A4A22"/>
    <w:rsid w:val="002A553F"/>
    <w:rsid w:val="002A5A83"/>
    <w:rsid w:val="002B228E"/>
    <w:rsid w:val="002B2FB8"/>
    <w:rsid w:val="002B536F"/>
    <w:rsid w:val="002B603D"/>
    <w:rsid w:val="002B6F2B"/>
    <w:rsid w:val="002C0440"/>
    <w:rsid w:val="002C0BCD"/>
    <w:rsid w:val="002C23D4"/>
    <w:rsid w:val="002C4DBB"/>
    <w:rsid w:val="002C5146"/>
    <w:rsid w:val="002C7E7E"/>
    <w:rsid w:val="002D0E84"/>
    <w:rsid w:val="002D0F05"/>
    <w:rsid w:val="002D255A"/>
    <w:rsid w:val="002D2D1E"/>
    <w:rsid w:val="002D3E08"/>
    <w:rsid w:val="002D454B"/>
    <w:rsid w:val="002D6F72"/>
    <w:rsid w:val="002D7E88"/>
    <w:rsid w:val="002E316D"/>
    <w:rsid w:val="002E484B"/>
    <w:rsid w:val="002E5296"/>
    <w:rsid w:val="002E5E33"/>
    <w:rsid w:val="002E6E6E"/>
    <w:rsid w:val="002E73AE"/>
    <w:rsid w:val="002F08CC"/>
    <w:rsid w:val="002F1FC1"/>
    <w:rsid w:val="002F5383"/>
    <w:rsid w:val="002F6B7C"/>
    <w:rsid w:val="002F715D"/>
    <w:rsid w:val="003001D0"/>
    <w:rsid w:val="00300885"/>
    <w:rsid w:val="00302354"/>
    <w:rsid w:val="003024AE"/>
    <w:rsid w:val="003031F4"/>
    <w:rsid w:val="00303ED8"/>
    <w:rsid w:val="00304F30"/>
    <w:rsid w:val="00310B11"/>
    <w:rsid w:val="003129F5"/>
    <w:rsid w:val="00313543"/>
    <w:rsid w:val="003142A0"/>
    <w:rsid w:val="003152AC"/>
    <w:rsid w:val="00315580"/>
    <w:rsid w:val="00316816"/>
    <w:rsid w:val="00321AC9"/>
    <w:rsid w:val="00321C9D"/>
    <w:rsid w:val="003255D9"/>
    <w:rsid w:val="00326CAB"/>
    <w:rsid w:val="003274DC"/>
    <w:rsid w:val="00330DB6"/>
    <w:rsid w:val="00337285"/>
    <w:rsid w:val="00343AB8"/>
    <w:rsid w:val="0034480F"/>
    <w:rsid w:val="00344AF2"/>
    <w:rsid w:val="00350507"/>
    <w:rsid w:val="003532A8"/>
    <w:rsid w:val="003536FD"/>
    <w:rsid w:val="00353AFD"/>
    <w:rsid w:val="00357693"/>
    <w:rsid w:val="0036119F"/>
    <w:rsid w:val="003640DF"/>
    <w:rsid w:val="00367B94"/>
    <w:rsid w:val="0037036E"/>
    <w:rsid w:val="003717A9"/>
    <w:rsid w:val="00371E1E"/>
    <w:rsid w:val="00372836"/>
    <w:rsid w:val="00373552"/>
    <w:rsid w:val="00375121"/>
    <w:rsid w:val="00380487"/>
    <w:rsid w:val="003819ED"/>
    <w:rsid w:val="00383B39"/>
    <w:rsid w:val="0038473D"/>
    <w:rsid w:val="00384F28"/>
    <w:rsid w:val="0039283D"/>
    <w:rsid w:val="00392B06"/>
    <w:rsid w:val="00392F86"/>
    <w:rsid w:val="00394F7E"/>
    <w:rsid w:val="003A2CEB"/>
    <w:rsid w:val="003A32C0"/>
    <w:rsid w:val="003B078C"/>
    <w:rsid w:val="003B5E4C"/>
    <w:rsid w:val="003C0A50"/>
    <w:rsid w:val="003C22E4"/>
    <w:rsid w:val="003C3A13"/>
    <w:rsid w:val="003C3AA6"/>
    <w:rsid w:val="003C5D50"/>
    <w:rsid w:val="003C66D6"/>
    <w:rsid w:val="003C6D01"/>
    <w:rsid w:val="003C7194"/>
    <w:rsid w:val="003C7616"/>
    <w:rsid w:val="003C7F24"/>
    <w:rsid w:val="003D1E0F"/>
    <w:rsid w:val="003D61DE"/>
    <w:rsid w:val="003E0504"/>
    <w:rsid w:val="003E1103"/>
    <w:rsid w:val="003E1486"/>
    <w:rsid w:val="003E4A06"/>
    <w:rsid w:val="003E64E5"/>
    <w:rsid w:val="003E7793"/>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4407"/>
    <w:rsid w:val="0042510E"/>
    <w:rsid w:val="0042618E"/>
    <w:rsid w:val="004275B1"/>
    <w:rsid w:val="00430751"/>
    <w:rsid w:val="00430FFF"/>
    <w:rsid w:val="004336A7"/>
    <w:rsid w:val="00437B73"/>
    <w:rsid w:val="00440CF1"/>
    <w:rsid w:val="004447F3"/>
    <w:rsid w:val="00457211"/>
    <w:rsid w:val="0045727B"/>
    <w:rsid w:val="00457D52"/>
    <w:rsid w:val="00460EFB"/>
    <w:rsid w:val="00461096"/>
    <w:rsid w:val="004633BA"/>
    <w:rsid w:val="004657FA"/>
    <w:rsid w:val="00465D46"/>
    <w:rsid w:val="0046796E"/>
    <w:rsid w:val="00472A1E"/>
    <w:rsid w:val="00473957"/>
    <w:rsid w:val="00475152"/>
    <w:rsid w:val="00476595"/>
    <w:rsid w:val="00476B80"/>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71C"/>
    <w:rsid w:val="004C4F9A"/>
    <w:rsid w:val="004C5C24"/>
    <w:rsid w:val="004D3194"/>
    <w:rsid w:val="004D439A"/>
    <w:rsid w:val="004D4C3D"/>
    <w:rsid w:val="004D6D90"/>
    <w:rsid w:val="004E15D2"/>
    <w:rsid w:val="004E1E63"/>
    <w:rsid w:val="004E241E"/>
    <w:rsid w:val="004E35E8"/>
    <w:rsid w:val="004E4FAE"/>
    <w:rsid w:val="004F6199"/>
    <w:rsid w:val="004F63FD"/>
    <w:rsid w:val="004F76AA"/>
    <w:rsid w:val="00500076"/>
    <w:rsid w:val="005033BF"/>
    <w:rsid w:val="00505467"/>
    <w:rsid w:val="00505E33"/>
    <w:rsid w:val="00506C1B"/>
    <w:rsid w:val="00507A79"/>
    <w:rsid w:val="005103E2"/>
    <w:rsid w:val="00510C47"/>
    <w:rsid w:val="0051153A"/>
    <w:rsid w:val="00512258"/>
    <w:rsid w:val="00513142"/>
    <w:rsid w:val="00513431"/>
    <w:rsid w:val="00517C1C"/>
    <w:rsid w:val="00520F81"/>
    <w:rsid w:val="0052277D"/>
    <w:rsid w:val="00526926"/>
    <w:rsid w:val="0053219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71943"/>
    <w:rsid w:val="00574F2C"/>
    <w:rsid w:val="00575F95"/>
    <w:rsid w:val="005761C7"/>
    <w:rsid w:val="00577FA5"/>
    <w:rsid w:val="00580E28"/>
    <w:rsid w:val="00581CEE"/>
    <w:rsid w:val="00587469"/>
    <w:rsid w:val="00591595"/>
    <w:rsid w:val="0059399D"/>
    <w:rsid w:val="00595168"/>
    <w:rsid w:val="005967EA"/>
    <w:rsid w:val="005A0668"/>
    <w:rsid w:val="005A0B1B"/>
    <w:rsid w:val="005A261D"/>
    <w:rsid w:val="005A4480"/>
    <w:rsid w:val="005A5648"/>
    <w:rsid w:val="005B1966"/>
    <w:rsid w:val="005B2330"/>
    <w:rsid w:val="005B5367"/>
    <w:rsid w:val="005B585E"/>
    <w:rsid w:val="005B59DE"/>
    <w:rsid w:val="005B6707"/>
    <w:rsid w:val="005B709B"/>
    <w:rsid w:val="005C0079"/>
    <w:rsid w:val="005C2C7A"/>
    <w:rsid w:val="005C46F7"/>
    <w:rsid w:val="005C66CC"/>
    <w:rsid w:val="005C7762"/>
    <w:rsid w:val="005C7B6D"/>
    <w:rsid w:val="005D05BC"/>
    <w:rsid w:val="005D24D6"/>
    <w:rsid w:val="005D2E1D"/>
    <w:rsid w:val="005D3B93"/>
    <w:rsid w:val="005D7378"/>
    <w:rsid w:val="005D7630"/>
    <w:rsid w:val="005D79E0"/>
    <w:rsid w:val="005E0F5E"/>
    <w:rsid w:val="005E4D51"/>
    <w:rsid w:val="005E5F07"/>
    <w:rsid w:val="005E642F"/>
    <w:rsid w:val="005E6BE7"/>
    <w:rsid w:val="005F1357"/>
    <w:rsid w:val="005F263F"/>
    <w:rsid w:val="005F4AA8"/>
    <w:rsid w:val="005F7584"/>
    <w:rsid w:val="00600D3C"/>
    <w:rsid w:val="00603F15"/>
    <w:rsid w:val="0060533E"/>
    <w:rsid w:val="00610887"/>
    <w:rsid w:val="00611810"/>
    <w:rsid w:val="00611834"/>
    <w:rsid w:val="0061466C"/>
    <w:rsid w:val="00617FF1"/>
    <w:rsid w:val="006236E4"/>
    <w:rsid w:val="0062670A"/>
    <w:rsid w:val="0062784E"/>
    <w:rsid w:val="006332A4"/>
    <w:rsid w:val="006336F7"/>
    <w:rsid w:val="00633D44"/>
    <w:rsid w:val="00640E48"/>
    <w:rsid w:val="0064147C"/>
    <w:rsid w:val="0064370E"/>
    <w:rsid w:val="006444C2"/>
    <w:rsid w:val="0064452A"/>
    <w:rsid w:val="00644D51"/>
    <w:rsid w:val="00645D94"/>
    <w:rsid w:val="00647C1F"/>
    <w:rsid w:val="00647D7E"/>
    <w:rsid w:val="006502FB"/>
    <w:rsid w:val="006521D2"/>
    <w:rsid w:val="006522A9"/>
    <w:rsid w:val="00653017"/>
    <w:rsid w:val="00654D99"/>
    <w:rsid w:val="006550E2"/>
    <w:rsid w:val="00660253"/>
    <w:rsid w:val="0066152C"/>
    <w:rsid w:val="00662B0D"/>
    <w:rsid w:val="0066444C"/>
    <w:rsid w:val="00665DF2"/>
    <w:rsid w:val="00665E04"/>
    <w:rsid w:val="0067026B"/>
    <w:rsid w:val="006716FC"/>
    <w:rsid w:val="006751B7"/>
    <w:rsid w:val="00675CA7"/>
    <w:rsid w:val="006771FE"/>
    <w:rsid w:val="00687109"/>
    <w:rsid w:val="00691E19"/>
    <w:rsid w:val="0069342B"/>
    <w:rsid w:val="00693E25"/>
    <w:rsid w:val="00696BBF"/>
    <w:rsid w:val="006A1365"/>
    <w:rsid w:val="006A2A1E"/>
    <w:rsid w:val="006A2C58"/>
    <w:rsid w:val="006A4C16"/>
    <w:rsid w:val="006A58CC"/>
    <w:rsid w:val="006A6529"/>
    <w:rsid w:val="006A7E1F"/>
    <w:rsid w:val="006B2765"/>
    <w:rsid w:val="006B2A12"/>
    <w:rsid w:val="006B5A06"/>
    <w:rsid w:val="006C42AB"/>
    <w:rsid w:val="006C492A"/>
    <w:rsid w:val="006C7021"/>
    <w:rsid w:val="006C75B7"/>
    <w:rsid w:val="006D665C"/>
    <w:rsid w:val="006E1509"/>
    <w:rsid w:val="006E1943"/>
    <w:rsid w:val="006E2C2F"/>
    <w:rsid w:val="006E4EE4"/>
    <w:rsid w:val="006F213A"/>
    <w:rsid w:val="006F3E0D"/>
    <w:rsid w:val="006F41E6"/>
    <w:rsid w:val="006F474C"/>
    <w:rsid w:val="006F4AC9"/>
    <w:rsid w:val="00701023"/>
    <w:rsid w:val="0070250F"/>
    <w:rsid w:val="00702B94"/>
    <w:rsid w:val="007039C5"/>
    <w:rsid w:val="007044BF"/>
    <w:rsid w:val="00704997"/>
    <w:rsid w:val="00705090"/>
    <w:rsid w:val="00712B01"/>
    <w:rsid w:val="00715A99"/>
    <w:rsid w:val="00717041"/>
    <w:rsid w:val="00717872"/>
    <w:rsid w:val="00717B7B"/>
    <w:rsid w:val="00720BCD"/>
    <w:rsid w:val="00722832"/>
    <w:rsid w:val="007243DB"/>
    <w:rsid w:val="00724E67"/>
    <w:rsid w:val="00725941"/>
    <w:rsid w:val="00727013"/>
    <w:rsid w:val="00727BA0"/>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594"/>
    <w:rsid w:val="00756556"/>
    <w:rsid w:val="00760761"/>
    <w:rsid w:val="0076149D"/>
    <w:rsid w:val="00761DA7"/>
    <w:rsid w:val="007623D8"/>
    <w:rsid w:val="00763936"/>
    <w:rsid w:val="007652BC"/>
    <w:rsid w:val="00767E47"/>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2A25"/>
    <w:rsid w:val="007B42BC"/>
    <w:rsid w:val="007B4466"/>
    <w:rsid w:val="007C1AAB"/>
    <w:rsid w:val="007C1BB1"/>
    <w:rsid w:val="007C2188"/>
    <w:rsid w:val="007C5AE6"/>
    <w:rsid w:val="007C62BD"/>
    <w:rsid w:val="007C6B41"/>
    <w:rsid w:val="007D0908"/>
    <w:rsid w:val="007D3306"/>
    <w:rsid w:val="007D7629"/>
    <w:rsid w:val="007E3ACF"/>
    <w:rsid w:val="007E7DC9"/>
    <w:rsid w:val="007E7E3D"/>
    <w:rsid w:val="007F0914"/>
    <w:rsid w:val="007F1173"/>
    <w:rsid w:val="007F6CE8"/>
    <w:rsid w:val="007F7D85"/>
    <w:rsid w:val="00802D7E"/>
    <w:rsid w:val="00803244"/>
    <w:rsid w:val="008068C9"/>
    <w:rsid w:val="00810D81"/>
    <w:rsid w:val="008110FA"/>
    <w:rsid w:val="00813F32"/>
    <w:rsid w:val="00814770"/>
    <w:rsid w:val="00815C9C"/>
    <w:rsid w:val="008162FF"/>
    <w:rsid w:val="00816679"/>
    <w:rsid w:val="00817051"/>
    <w:rsid w:val="00821AF3"/>
    <w:rsid w:val="00821CA6"/>
    <w:rsid w:val="00821F3F"/>
    <w:rsid w:val="00824442"/>
    <w:rsid w:val="008244AC"/>
    <w:rsid w:val="00827EF5"/>
    <w:rsid w:val="00830A4C"/>
    <w:rsid w:val="0083275C"/>
    <w:rsid w:val="008330A8"/>
    <w:rsid w:val="008338AD"/>
    <w:rsid w:val="00835B90"/>
    <w:rsid w:val="00841B3B"/>
    <w:rsid w:val="00842B15"/>
    <w:rsid w:val="008430B5"/>
    <w:rsid w:val="0084356E"/>
    <w:rsid w:val="0084393D"/>
    <w:rsid w:val="008451EC"/>
    <w:rsid w:val="00845589"/>
    <w:rsid w:val="00847508"/>
    <w:rsid w:val="00854354"/>
    <w:rsid w:val="008556DB"/>
    <w:rsid w:val="00855A2E"/>
    <w:rsid w:val="008567D5"/>
    <w:rsid w:val="00860513"/>
    <w:rsid w:val="00860B2B"/>
    <w:rsid w:val="008618EF"/>
    <w:rsid w:val="0086283D"/>
    <w:rsid w:val="00872A19"/>
    <w:rsid w:val="00874673"/>
    <w:rsid w:val="00875D0D"/>
    <w:rsid w:val="008770CC"/>
    <w:rsid w:val="00877413"/>
    <w:rsid w:val="0088224F"/>
    <w:rsid w:val="008875D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EE1"/>
    <w:rsid w:val="008B2A46"/>
    <w:rsid w:val="008B6AE7"/>
    <w:rsid w:val="008C0F63"/>
    <w:rsid w:val="008D06A4"/>
    <w:rsid w:val="008D1078"/>
    <w:rsid w:val="008D395F"/>
    <w:rsid w:val="008D420C"/>
    <w:rsid w:val="008D482C"/>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51A65"/>
    <w:rsid w:val="0096378C"/>
    <w:rsid w:val="00965E3C"/>
    <w:rsid w:val="00966A4C"/>
    <w:rsid w:val="00967D5E"/>
    <w:rsid w:val="00970C3F"/>
    <w:rsid w:val="00972F9F"/>
    <w:rsid w:val="00974617"/>
    <w:rsid w:val="00974E0C"/>
    <w:rsid w:val="00977123"/>
    <w:rsid w:val="00980DD8"/>
    <w:rsid w:val="0098128B"/>
    <w:rsid w:val="009828E5"/>
    <w:rsid w:val="0098594E"/>
    <w:rsid w:val="00991389"/>
    <w:rsid w:val="009927AB"/>
    <w:rsid w:val="009940CE"/>
    <w:rsid w:val="00995BB4"/>
    <w:rsid w:val="009A424C"/>
    <w:rsid w:val="009A7567"/>
    <w:rsid w:val="009B4FCD"/>
    <w:rsid w:val="009B6697"/>
    <w:rsid w:val="009B79DF"/>
    <w:rsid w:val="009B7D9A"/>
    <w:rsid w:val="009C15D9"/>
    <w:rsid w:val="009C19F7"/>
    <w:rsid w:val="009C59EF"/>
    <w:rsid w:val="009C7151"/>
    <w:rsid w:val="009D0211"/>
    <w:rsid w:val="009D029E"/>
    <w:rsid w:val="009D0585"/>
    <w:rsid w:val="009D6049"/>
    <w:rsid w:val="009E1774"/>
    <w:rsid w:val="009E31E9"/>
    <w:rsid w:val="009E339D"/>
    <w:rsid w:val="009E3D84"/>
    <w:rsid w:val="009E4996"/>
    <w:rsid w:val="009E5C52"/>
    <w:rsid w:val="009E5FC9"/>
    <w:rsid w:val="009F384D"/>
    <w:rsid w:val="009F5D71"/>
    <w:rsid w:val="00A01A04"/>
    <w:rsid w:val="00A02954"/>
    <w:rsid w:val="00A02B21"/>
    <w:rsid w:val="00A04164"/>
    <w:rsid w:val="00A05E23"/>
    <w:rsid w:val="00A06999"/>
    <w:rsid w:val="00A128BD"/>
    <w:rsid w:val="00A13482"/>
    <w:rsid w:val="00A1401E"/>
    <w:rsid w:val="00A158F4"/>
    <w:rsid w:val="00A16870"/>
    <w:rsid w:val="00A16BD8"/>
    <w:rsid w:val="00A1726A"/>
    <w:rsid w:val="00A241ED"/>
    <w:rsid w:val="00A269BE"/>
    <w:rsid w:val="00A271AB"/>
    <w:rsid w:val="00A27B70"/>
    <w:rsid w:val="00A3454E"/>
    <w:rsid w:val="00A3716F"/>
    <w:rsid w:val="00A40F7A"/>
    <w:rsid w:val="00A4208E"/>
    <w:rsid w:val="00A423E7"/>
    <w:rsid w:val="00A42B63"/>
    <w:rsid w:val="00A50BAC"/>
    <w:rsid w:val="00A5223D"/>
    <w:rsid w:val="00A52729"/>
    <w:rsid w:val="00A536E1"/>
    <w:rsid w:val="00A53EB4"/>
    <w:rsid w:val="00A5402A"/>
    <w:rsid w:val="00A544E2"/>
    <w:rsid w:val="00A56BD6"/>
    <w:rsid w:val="00A56FED"/>
    <w:rsid w:val="00A5717A"/>
    <w:rsid w:val="00A626C1"/>
    <w:rsid w:val="00A646BD"/>
    <w:rsid w:val="00A64D9C"/>
    <w:rsid w:val="00A67EDD"/>
    <w:rsid w:val="00A71C46"/>
    <w:rsid w:val="00A72172"/>
    <w:rsid w:val="00A7560F"/>
    <w:rsid w:val="00A76946"/>
    <w:rsid w:val="00A816B8"/>
    <w:rsid w:val="00A83E36"/>
    <w:rsid w:val="00A93E8F"/>
    <w:rsid w:val="00AA1B75"/>
    <w:rsid w:val="00AA265D"/>
    <w:rsid w:val="00AA3881"/>
    <w:rsid w:val="00AA77C9"/>
    <w:rsid w:val="00AB4EC6"/>
    <w:rsid w:val="00AB56E2"/>
    <w:rsid w:val="00AB7C49"/>
    <w:rsid w:val="00AC0D56"/>
    <w:rsid w:val="00AC2C06"/>
    <w:rsid w:val="00AD0C13"/>
    <w:rsid w:val="00AD15D1"/>
    <w:rsid w:val="00AD16D9"/>
    <w:rsid w:val="00AD1792"/>
    <w:rsid w:val="00AD3056"/>
    <w:rsid w:val="00AD4AC6"/>
    <w:rsid w:val="00AD4C63"/>
    <w:rsid w:val="00AD59EB"/>
    <w:rsid w:val="00AD6BE6"/>
    <w:rsid w:val="00AD74BA"/>
    <w:rsid w:val="00AE14E9"/>
    <w:rsid w:val="00AE1B2D"/>
    <w:rsid w:val="00AE509F"/>
    <w:rsid w:val="00AE6808"/>
    <w:rsid w:val="00AF038D"/>
    <w:rsid w:val="00AF3CF1"/>
    <w:rsid w:val="00AF6984"/>
    <w:rsid w:val="00B0068F"/>
    <w:rsid w:val="00B019C0"/>
    <w:rsid w:val="00B036FE"/>
    <w:rsid w:val="00B03E16"/>
    <w:rsid w:val="00B07518"/>
    <w:rsid w:val="00B07896"/>
    <w:rsid w:val="00B11EF1"/>
    <w:rsid w:val="00B123F3"/>
    <w:rsid w:val="00B13DEF"/>
    <w:rsid w:val="00B159B4"/>
    <w:rsid w:val="00B24002"/>
    <w:rsid w:val="00B245AC"/>
    <w:rsid w:val="00B2529E"/>
    <w:rsid w:val="00B25B0F"/>
    <w:rsid w:val="00B27B89"/>
    <w:rsid w:val="00B34B30"/>
    <w:rsid w:val="00B351E5"/>
    <w:rsid w:val="00B4364C"/>
    <w:rsid w:val="00B460A8"/>
    <w:rsid w:val="00B46DB2"/>
    <w:rsid w:val="00B51D9D"/>
    <w:rsid w:val="00B53FCF"/>
    <w:rsid w:val="00B5490A"/>
    <w:rsid w:val="00B555BE"/>
    <w:rsid w:val="00B56719"/>
    <w:rsid w:val="00B56FDB"/>
    <w:rsid w:val="00B5704B"/>
    <w:rsid w:val="00B576BC"/>
    <w:rsid w:val="00B6114A"/>
    <w:rsid w:val="00B61412"/>
    <w:rsid w:val="00B645C9"/>
    <w:rsid w:val="00B6709D"/>
    <w:rsid w:val="00B67342"/>
    <w:rsid w:val="00B67863"/>
    <w:rsid w:val="00B71FC7"/>
    <w:rsid w:val="00B74395"/>
    <w:rsid w:val="00B760A1"/>
    <w:rsid w:val="00B83C59"/>
    <w:rsid w:val="00B878EA"/>
    <w:rsid w:val="00BA1B71"/>
    <w:rsid w:val="00BA2D92"/>
    <w:rsid w:val="00BA3A9A"/>
    <w:rsid w:val="00BA4F6A"/>
    <w:rsid w:val="00BA5F54"/>
    <w:rsid w:val="00BA6373"/>
    <w:rsid w:val="00BA7ADD"/>
    <w:rsid w:val="00BB18E6"/>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10A3"/>
    <w:rsid w:val="00C21F44"/>
    <w:rsid w:val="00C23F85"/>
    <w:rsid w:val="00C24C6A"/>
    <w:rsid w:val="00C262DB"/>
    <w:rsid w:val="00C26AF0"/>
    <w:rsid w:val="00C27353"/>
    <w:rsid w:val="00C312CD"/>
    <w:rsid w:val="00C328CD"/>
    <w:rsid w:val="00C328D5"/>
    <w:rsid w:val="00C33824"/>
    <w:rsid w:val="00C33FB3"/>
    <w:rsid w:val="00C35094"/>
    <w:rsid w:val="00C379D7"/>
    <w:rsid w:val="00C41FC1"/>
    <w:rsid w:val="00C4377E"/>
    <w:rsid w:val="00C43F86"/>
    <w:rsid w:val="00C44455"/>
    <w:rsid w:val="00C44973"/>
    <w:rsid w:val="00C52C47"/>
    <w:rsid w:val="00C54F02"/>
    <w:rsid w:val="00C5521F"/>
    <w:rsid w:val="00C55FE5"/>
    <w:rsid w:val="00C57C8E"/>
    <w:rsid w:val="00C601E2"/>
    <w:rsid w:val="00C63674"/>
    <w:rsid w:val="00C64743"/>
    <w:rsid w:val="00C66679"/>
    <w:rsid w:val="00C704F7"/>
    <w:rsid w:val="00C754AD"/>
    <w:rsid w:val="00C75CAC"/>
    <w:rsid w:val="00C7662C"/>
    <w:rsid w:val="00C84674"/>
    <w:rsid w:val="00C84CE8"/>
    <w:rsid w:val="00C85C3E"/>
    <w:rsid w:val="00C85EE0"/>
    <w:rsid w:val="00C86B07"/>
    <w:rsid w:val="00C874A3"/>
    <w:rsid w:val="00C87915"/>
    <w:rsid w:val="00C90BE8"/>
    <w:rsid w:val="00C912BE"/>
    <w:rsid w:val="00C937D8"/>
    <w:rsid w:val="00C94871"/>
    <w:rsid w:val="00C95D74"/>
    <w:rsid w:val="00C963B4"/>
    <w:rsid w:val="00C971F1"/>
    <w:rsid w:val="00CA2A5E"/>
    <w:rsid w:val="00CA6B38"/>
    <w:rsid w:val="00CB0DB1"/>
    <w:rsid w:val="00CB19BD"/>
    <w:rsid w:val="00CB20FB"/>
    <w:rsid w:val="00CB2D3A"/>
    <w:rsid w:val="00CB44B0"/>
    <w:rsid w:val="00CB7A6B"/>
    <w:rsid w:val="00CC1A8E"/>
    <w:rsid w:val="00CC28C4"/>
    <w:rsid w:val="00CC322A"/>
    <w:rsid w:val="00CC32E2"/>
    <w:rsid w:val="00CC3375"/>
    <w:rsid w:val="00CC3E6E"/>
    <w:rsid w:val="00CC57A1"/>
    <w:rsid w:val="00CD05AB"/>
    <w:rsid w:val="00CD0810"/>
    <w:rsid w:val="00CD2B89"/>
    <w:rsid w:val="00CD2DE0"/>
    <w:rsid w:val="00CD48AC"/>
    <w:rsid w:val="00CD5DF0"/>
    <w:rsid w:val="00CD73B5"/>
    <w:rsid w:val="00CD73F5"/>
    <w:rsid w:val="00CE48C4"/>
    <w:rsid w:val="00CE677D"/>
    <w:rsid w:val="00CF30E6"/>
    <w:rsid w:val="00CF4C20"/>
    <w:rsid w:val="00CF59D5"/>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360D5"/>
    <w:rsid w:val="00D37542"/>
    <w:rsid w:val="00D40C13"/>
    <w:rsid w:val="00D420B5"/>
    <w:rsid w:val="00D46824"/>
    <w:rsid w:val="00D521E2"/>
    <w:rsid w:val="00D52D3C"/>
    <w:rsid w:val="00D53A9E"/>
    <w:rsid w:val="00D54F0B"/>
    <w:rsid w:val="00D55723"/>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36C5"/>
    <w:rsid w:val="00D83892"/>
    <w:rsid w:val="00D84572"/>
    <w:rsid w:val="00D857E5"/>
    <w:rsid w:val="00D863B9"/>
    <w:rsid w:val="00D9128B"/>
    <w:rsid w:val="00D9332A"/>
    <w:rsid w:val="00D93721"/>
    <w:rsid w:val="00D96944"/>
    <w:rsid w:val="00DA0FFB"/>
    <w:rsid w:val="00DA38A0"/>
    <w:rsid w:val="00DA7657"/>
    <w:rsid w:val="00DB05DD"/>
    <w:rsid w:val="00DB0CD0"/>
    <w:rsid w:val="00DB16B4"/>
    <w:rsid w:val="00DB3398"/>
    <w:rsid w:val="00DB3855"/>
    <w:rsid w:val="00DB3AB9"/>
    <w:rsid w:val="00DB3FFD"/>
    <w:rsid w:val="00DB6DC1"/>
    <w:rsid w:val="00DB6EF3"/>
    <w:rsid w:val="00DC0537"/>
    <w:rsid w:val="00DC0826"/>
    <w:rsid w:val="00DC0D6F"/>
    <w:rsid w:val="00DC3A52"/>
    <w:rsid w:val="00DC64CE"/>
    <w:rsid w:val="00DD02E2"/>
    <w:rsid w:val="00DD5D4F"/>
    <w:rsid w:val="00DE0AF0"/>
    <w:rsid w:val="00DE7A6A"/>
    <w:rsid w:val="00DF16B0"/>
    <w:rsid w:val="00DF376F"/>
    <w:rsid w:val="00DF431A"/>
    <w:rsid w:val="00DF60CD"/>
    <w:rsid w:val="00DF64DB"/>
    <w:rsid w:val="00DF7568"/>
    <w:rsid w:val="00E0026A"/>
    <w:rsid w:val="00E04D82"/>
    <w:rsid w:val="00E06280"/>
    <w:rsid w:val="00E06C72"/>
    <w:rsid w:val="00E07D36"/>
    <w:rsid w:val="00E11A8C"/>
    <w:rsid w:val="00E15A7A"/>
    <w:rsid w:val="00E16213"/>
    <w:rsid w:val="00E1708E"/>
    <w:rsid w:val="00E177E6"/>
    <w:rsid w:val="00E201D8"/>
    <w:rsid w:val="00E2091F"/>
    <w:rsid w:val="00E20B73"/>
    <w:rsid w:val="00E20E51"/>
    <w:rsid w:val="00E219B2"/>
    <w:rsid w:val="00E22432"/>
    <w:rsid w:val="00E3200E"/>
    <w:rsid w:val="00E34F46"/>
    <w:rsid w:val="00E41B20"/>
    <w:rsid w:val="00E4350F"/>
    <w:rsid w:val="00E451AC"/>
    <w:rsid w:val="00E46D93"/>
    <w:rsid w:val="00E4712F"/>
    <w:rsid w:val="00E50368"/>
    <w:rsid w:val="00E51A5A"/>
    <w:rsid w:val="00E5354A"/>
    <w:rsid w:val="00E535AB"/>
    <w:rsid w:val="00E53972"/>
    <w:rsid w:val="00E56BA8"/>
    <w:rsid w:val="00E57C2F"/>
    <w:rsid w:val="00E6092A"/>
    <w:rsid w:val="00E66B1C"/>
    <w:rsid w:val="00E6753F"/>
    <w:rsid w:val="00E70E00"/>
    <w:rsid w:val="00E7254D"/>
    <w:rsid w:val="00E75DD4"/>
    <w:rsid w:val="00E820EC"/>
    <w:rsid w:val="00E856DC"/>
    <w:rsid w:val="00E87B65"/>
    <w:rsid w:val="00E87BB7"/>
    <w:rsid w:val="00E903E4"/>
    <w:rsid w:val="00E96654"/>
    <w:rsid w:val="00E975AD"/>
    <w:rsid w:val="00EA0A43"/>
    <w:rsid w:val="00EA13FD"/>
    <w:rsid w:val="00EA297B"/>
    <w:rsid w:val="00EA741A"/>
    <w:rsid w:val="00EB2EB0"/>
    <w:rsid w:val="00EB4789"/>
    <w:rsid w:val="00EB5A96"/>
    <w:rsid w:val="00EB70C7"/>
    <w:rsid w:val="00EB7C22"/>
    <w:rsid w:val="00EC158D"/>
    <w:rsid w:val="00EC5D8B"/>
    <w:rsid w:val="00ED0ED4"/>
    <w:rsid w:val="00ED261A"/>
    <w:rsid w:val="00ED56DC"/>
    <w:rsid w:val="00EE04DD"/>
    <w:rsid w:val="00EE08CC"/>
    <w:rsid w:val="00EE0D13"/>
    <w:rsid w:val="00EE46E1"/>
    <w:rsid w:val="00EE4C7F"/>
    <w:rsid w:val="00EE5DCC"/>
    <w:rsid w:val="00EE74CA"/>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4113"/>
    <w:rsid w:val="00F303BA"/>
    <w:rsid w:val="00F3243A"/>
    <w:rsid w:val="00F33B7E"/>
    <w:rsid w:val="00F3624C"/>
    <w:rsid w:val="00F36D63"/>
    <w:rsid w:val="00F36E18"/>
    <w:rsid w:val="00F372D1"/>
    <w:rsid w:val="00F40818"/>
    <w:rsid w:val="00F43EDC"/>
    <w:rsid w:val="00F45F5B"/>
    <w:rsid w:val="00F463D7"/>
    <w:rsid w:val="00F467C1"/>
    <w:rsid w:val="00F5037C"/>
    <w:rsid w:val="00F52776"/>
    <w:rsid w:val="00F530F4"/>
    <w:rsid w:val="00F535C7"/>
    <w:rsid w:val="00F53901"/>
    <w:rsid w:val="00F54616"/>
    <w:rsid w:val="00F5614F"/>
    <w:rsid w:val="00F563D6"/>
    <w:rsid w:val="00F578C7"/>
    <w:rsid w:val="00F64D03"/>
    <w:rsid w:val="00F72BB6"/>
    <w:rsid w:val="00F761AB"/>
    <w:rsid w:val="00F8014E"/>
    <w:rsid w:val="00F81D38"/>
    <w:rsid w:val="00F832C4"/>
    <w:rsid w:val="00F85F58"/>
    <w:rsid w:val="00F87B1C"/>
    <w:rsid w:val="00F91547"/>
    <w:rsid w:val="00F91F4B"/>
    <w:rsid w:val="00F95059"/>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E158B"/>
    <w:rsid w:val="00FE23D2"/>
    <w:rsid w:val="00FE2A6A"/>
    <w:rsid w:val="00FF0B65"/>
    <w:rsid w:val="00FF284A"/>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FCABF"/>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20\2%20Trimestre\Segundo%20trimestre%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019-4DAB-8F9D-E2790BD256D2}"/>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019-4DAB-8F9D-E2790BD256D2}"/>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19-4DAB-8F9D-E2790BD256D2}"/>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19-4DAB-8F9D-E2790BD256D2}"/>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2020'!$A$5:$A$6</c:f>
              <c:strCache>
                <c:ptCount val="2"/>
                <c:pt idx="0">
                  <c:v>Procedimientos Sumarios</c:v>
                </c:pt>
                <c:pt idx="1">
                  <c:v>Procedimientos Ordinarios</c:v>
                </c:pt>
              </c:strCache>
            </c:strRef>
          </c:cat>
          <c:val>
            <c:numRef>
              <c:f>'Primer Trim 2020'!$C$5:$C$6</c:f>
              <c:numCache>
                <c:formatCode>0.00%</c:formatCode>
                <c:ptCount val="2"/>
                <c:pt idx="0">
                  <c:v>0.94715261958997721</c:v>
                </c:pt>
                <c:pt idx="1">
                  <c:v>5.2847380410022779E-2</c:v>
                </c:pt>
              </c:numCache>
            </c:numRef>
          </c:val>
          <c:extLst>
            <c:ext xmlns:c16="http://schemas.microsoft.com/office/drawing/2014/chart" uri="{C3380CC4-5D6E-409C-BE32-E72D297353CC}">
              <c16:uniqueId val="{00000004-A019-4DAB-8F9D-E2790BD256D2}"/>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4555254478064401"/>
          <c:y val="0.11983001997003823"/>
          <c:w val="0.72391676145671136"/>
          <c:h val="0.8088135486181306"/>
        </c:manualLayout>
      </c:layout>
      <c:barChart>
        <c:barDir val="bar"/>
        <c:grouping val="clustered"/>
        <c:varyColors val="0"/>
        <c:ser>
          <c:idx val="0"/>
          <c:order val="0"/>
          <c:tx>
            <c:strRef>
              <c:f>'Primer Trim 2020'!$B$12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2020'!$A$13:$A$45</c:f>
              <c:strCache>
                <c:ptCount val="33"/>
                <c:pt idx="0">
                  <c:v>Lerma, Edo. de Mex.</c:v>
                </c:pt>
                <c:pt idx="1">
                  <c:v>Guadalajara, Jal.</c:v>
                </c:pt>
                <c:pt idx="2">
                  <c:v>Villahermosa, Tab.</c:v>
                </c:pt>
                <c:pt idx="3">
                  <c:v>Mérida, Yuc.</c:v>
                </c:pt>
                <c:pt idx="4">
                  <c:v>Hermosillo, Son.</c:v>
                </c:pt>
                <c:pt idx="5">
                  <c:v>Veracruz, Ver.</c:v>
                </c:pt>
                <c:pt idx="6">
                  <c:v>San Luis Potosí, S.L.P.</c:v>
                </c:pt>
                <c:pt idx="7">
                  <c:v>Pachuca, Hgo. </c:v>
                </c:pt>
                <c:pt idx="8">
                  <c:v>Ciudad Victoria, Tamps.</c:v>
                </c:pt>
                <c:pt idx="9">
                  <c:v>León, Gto.</c:v>
                </c:pt>
                <c:pt idx="10">
                  <c:v>Toluca, Edo. de Mex.</c:v>
                </c:pt>
                <c:pt idx="11">
                  <c:v>Culiacán, Sin.</c:v>
                </c:pt>
                <c:pt idx="12">
                  <c:v>Cancún, Q. Roo</c:v>
                </c:pt>
                <c:pt idx="13">
                  <c:v>Ciudad Juárez, Chih.</c:v>
                </c:pt>
                <c:pt idx="14">
                  <c:v>Colima, Col.</c:v>
                </c:pt>
                <c:pt idx="15">
                  <c:v>La Paz, B.C.S.</c:v>
                </c:pt>
                <c:pt idx="16">
                  <c:v>Xalapa, Ver.</c:v>
                </c:pt>
                <c:pt idx="17">
                  <c:v>Tlaxcala, Tlax.</c:v>
                </c:pt>
                <c:pt idx="18">
                  <c:v>Cuernavaca, Mor.</c:v>
                </c:pt>
                <c:pt idx="19">
                  <c:v>Aguascalientes, Ags</c:v>
                </c:pt>
                <c:pt idx="20">
                  <c:v>Puebla, Pue.</c:v>
                </c:pt>
                <c:pt idx="21">
                  <c:v>Durango, Dgo.</c:v>
                </c:pt>
                <c:pt idx="22">
                  <c:v>Chetumal, Q.Roo</c:v>
                </c:pt>
                <c:pt idx="23">
                  <c:v>Morelia, Mich.</c:v>
                </c:pt>
                <c:pt idx="24">
                  <c:v>Zacatecas, Zac.</c:v>
                </c:pt>
                <c:pt idx="25">
                  <c:v>Tepic, Nay. </c:v>
                </c:pt>
                <c:pt idx="26">
                  <c:v>Tijuana, B.C.</c:v>
                </c:pt>
                <c:pt idx="27">
                  <c:v>Acapulco, Gro. </c:v>
                </c:pt>
                <c:pt idx="28">
                  <c:v>Oaxaca, Oax</c:v>
                </c:pt>
                <c:pt idx="29">
                  <c:v>Torreón, Coah.</c:v>
                </c:pt>
                <c:pt idx="30">
                  <c:v>Monterrey, N.L.</c:v>
                </c:pt>
                <c:pt idx="31">
                  <c:v>Querétaro, Qro.</c:v>
                </c:pt>
                <c:pt idx="32">
                  <c:v>Ciudad de México</c:v>
                </c:pt>
              </c:strCache>
            </c:strRef>
          </c:cat>
          <c:val>
            <c:numRef>
              <c:f>'Primer Trim 2020'!$B$13:$B$45</c:f>
              <c:numCache>
                <c:formatCode>#,##0</c:formatCode>
                <c:ptCount val="33"/>
                <c:pt idx="0">
                  <c:v>0</c:v>
                </c:pt>
                <c:pt idx="1">
                  <c:v>1</c:v>
                </c:pt>
                <c:pt idx="2">
                  <c:v>2</c:v>
                </c:pt>
                <c:pt idx="3">
                  <c:v>3</c:v>
                </c:pt>
                <c:pt idx="4">
                  <c:v>4</c:v>
                </c:pt>
                <c:pt idx="5">
                  <c:v>4</c:v>
                </c:pt>
                <c:pt idx="6">
                  <c:v>5</c:v>
                </c:pt>
                <c:pt idx="7">
                  <c:v>5</c:v>
                </c:pt>
                <c:pt idx="8">
                  <c:v>5</c:v>
                </c:pt>
                <c:pt idx="9">
                  <c:v>6</c:v>
                </c:pt>
                <c:pt idx="10">
                  <c:v>6</c:v>
                </c:pt>
                <c:pt idx="11">
                  <c:v>7</c:v>
                </c:pt>
                <c:pt idx="12">
                  <c:v>8</c:v>
                </c:pt>
                <c:pt idx="13">
                  <c:v>9</c:v>
                </c:pt>
                <c:pt idx="14">
                  <c:v>11</c:v>
                </c:pt>
                <c:pt idx="15">
                  <c:v>13</c:v>
                </c:pt>
                <c:pt idx="16">
                  <c:v>13</c:v>
                </c:pt>
                <c:pt idx="17">
                  <c:v>13</c:v>
                </c:pt>
                <c:pt idx="18">
                  <c:v>14</c:v>
                </c:pt>
                <c:pt idx="19">
                  <c:v>19</c:v>
                </c:pt>
                <c:pt idx="20">
                  <c:v>24</c:v>
                </c:pt>
                <c:pt idx="21">
                  <c:v>27</c:v>
                </c:pt>
                <c:pt idx="22">
                  <c:v>30</c:v>
                </c:pt>
                <c:pt idx="23">
                  <c:v>42</c:v>
                </c:pt>
                <c:pt idx="24">
                  <c:v>43</c:v>
                </c:pt>
                <c:pt idx="25">
                  <c:v>44</c:v>
                </c:pt>
                <c:pt idx="26">
                  <c:v>60</c:v>
                </c:pt>
                <c:pt idx="27">
                  <c:v>80</c:v>
                </c:pt>
                <c:pt idx="28">
                  <c:v>107</c:v>
                </c:pt>
                <c:pt idx="29">
                  <c:v>240</c:v>
                </c:pt>
                <c:pt idx="30">
                  <c:v>380</c:v>
                </c:pt>
                <c:pt idx="31">
                  <c:v>623</c:v>
                </c:pt>
                <c:pt idx="32">
                  <c:v>2240</c:v>
                </c:pt>
              </c:numCache>
            </c:numRef>
          </c:val>
          <c:extLst>
            <c:ext xmlns:c16="http://schemas.microsoft.com/office/drawing/2014/chart" uri="{C3380CC4-5D6E-409C-BE32-E72D297353CC}">
              <c16:uniqueId val="{00000000-92E1-44E1-A450-7A766961DDCD}"/>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41A-4314-B838-25C9103BBF2D}"/>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41A-4314-B838-25C9103BBF2D}"/>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1A-4314-B838-25C9103BBF2D}"/>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1A-4314-B838-25C9103BBF2D}"/>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2020'!$A$69:$A$70</c:f>
              <c:strCache>
                <c:ptCount val="2"/>
                <c:pt idx="0">
                  <c:v>Solicitudes recibidas de manera presencial</c:v>
                </c:pt>
                <c:pt idx="1">
                  <c:v>Solicitudes recibidas por medios electrónicos</c:v>
                </c:pt>
              </c:strCache>
            </c:strRef>
          </c:cat>
          <c:val>
            <c:numRef>
              <c:f>'Primer Trim 2020'!$C$69:$C$70</c:f>
              <c:numCache>
                <c:formatCode>0.00%</c:formatCode>
                <c:ptCount val="2"/>
                <c:pt idx="0">
                  <c:v>0</c:v>
                </c:pt>
                <c:pt idx="1">
                  <c:v>1</c:v>
                </c:pt>
              </c:numCache>
            </c:numRef>
          </c:val>
          <c:extLst>
            <c:ext xmlns:c16="http://schemas.microsoft.com/office/drawing/2014/chart" uri="{C3380CC4-5D6E-409C-BE32-E72D297353CC}">
              <c16:uniqueId val="{00000004-A41A-4314-B838-25C9103BBF2D}"/>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4854-459E-8D18-E7FD10ABE7E1}"/>
              </c:ext>
            </c:extLst>
          </c:dPt>
          <c:dPt>
            <c:idx val="1"/>
            <c:invertIfNegative val="0"/>
            <c:bubble3D val="0"/>
            <c:spPr>
              <a:solidFill>
                <a:srgbClr val="D59F0F"/>
              </a:solidFill>
              <a:ln>
                <a:noFill/>
              </a:ln>
              <a:effectLst/>
            </c:spPr>
            <c:extLst>
              <c:ext xmlns:c16="http://schemas.microsoft.com/office/drawing/2014/chart" uri="{C3380CC4-5D6E-409C-BE32-E72D297353CC}">
                <c16:uniqueId val="{00000003-4854-459E-8D18-E7FD10ABE7E1}"/>
              </c:ext>
            </c:extLst>
          </c:dPt>
          <c:dPt>
            <c:idx val="2"/>
            <c:invertIfNegative val="0"/>
            <c:bubble3D val="0"/>
            <c:spPr>
              <a:solidFill>
                <a:srgbClr val="73AFB6"/>
              </a:solidFill>
              <a:ln>
                <a:noFill/>
              </a:ln>
              <a:effectLst/>
            </c:spPr>
            <c:extLst>
              <c:ext xmlns:c16="http://schemas.microsoft.com/office/drawing/2014/chart" uri="{C3380CC4-5D6E-409C-BE32-E72D297353CC}">
                <c16:uniqueId val="{00000005-4854-459E-8D18-E7FD10ABE7E1}"/>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4854-459E-8D18-E7FD10ABE7E1}"/>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54-459E-8D18-E7FD10ABE7E1}"/>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2020'!$A$77:$A$79</c:f>
              <c:strCache>
                <c:ptCount val="3"/>
                <c:pt idx="0">
                  <c:v>Orientaciones</c:v>
                </c:pt>
                <c:pt idx="1">
                  <c:v>Canalizaciones</c:v>
                </c:pt>
                <c:pt idx="2">
                  <c:v>Solicitudes</c:v>
                </c:pt>
              </c:strCache>
            </c:strRef>
          </c:cat>
          <c:val>
            <c:numRef>
              <c:f>'Primer Trim 2020'!$B$77:$B$79</c:f>
              <c:numCache>
                <c:formatCode>General</c:formatCode>
                <c:ptCount val="3"/>
                <c:pt idx="0" formatCode="#,##0">
                  <c:v>83</c:v>
                </c:pt>
                <c:pt idx="1">
                  <c:v>1010</c:v>
                </c:pt>
                <c:pt idx="2" formatCode="#,##0">
                  <c:v>5430</c:v>
                </c:pt>
              </c:numCache>
            </c:numRef>
          </c:val>
          <c:extLst>
            <c:ext xmlns:c16="http://schemas.microsoft.com/office/drawing/2014/chart" uri="{C3380CC4-5D6E-409C-BE32-E72D297353CC}">
              <c16:uniqueId val="{00000006-4854-459E-8D18-E7FD10ABE7E1}"/>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8D94-4AF0-9746-2DEF332C1CE9}"/>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8D94-4AF0-9746-2DEF332C1CE9}"/>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94-4AF0-9746-2DEF332C1CE9}"/>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94-4AF0-9746-2DEF332C1CE9}"/>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2020'!$A$84:$A$85</c:f>
              <c:strCache>
                <c:ptCount val="2"/>
                <c:pt idx="0">
                  <c:v>Administrativa</c:v>
                </c:pt>
                <c:pt idx="1">
                  <c:v>Jurisdiccional</c:v>
                </c:pt>
              </c:strCache>
            </c:strRef>
          </c:cat>
          <c:val>
            <c:numRef>
              <c:f>'Primer Trim 2020'!$C$84:$C$85</c:f>
              <c:numCache>
                <c:formatCode>0.00%</c:formatCode>
                <c:ptCount val="2"/>
                <c:pt idx="0">
                  <c:v>0.28879310344827586</c:v>
                </c:pt>
                <c:pt idx="1">
                  <c:v>0.71120689655172409</c:v>
                </c:pt>
              </c:numCache>
            </c:numRef>
          </c:val>
          <c:extLst>
            <c:ext xmlns:c16="http://schemas.microsoft.com/office/drawing/2014/chart" uri="{C3380CC4-5D6E-409C-BE32-E72D297353CC}">
              <c16:uniqueId val="{00000004-8D94-4AF0-9746-2DEF332C1CE9}"/>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913F-4C3A-BC73-DA7CEA1AA5D7}"/>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913F-4C3A-BC73-DA7CEA1AA5D7}"/>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3F-4C3A-BC73-DA7CEA1AA5D7}"/>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3F-4C3A-BC73-DA7CEA1AA5D7}"/>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2020'!$A$92:$A$93</c:f>
              <c:strCache>
                <c:ptCount val="2"/>
                <c:pt idx="0">
                  <c:v>Tramitados sin intervención del Comité</c:v>
                </c:pt>
                <c:pt idx="1">
                  <c:v>Turnos al Comité</c:v>
                </c:pt>
              </c:strCache>
            </c:strRef>
          </c:cat>
          <c:val>
            <c:numRef>
              <c:f>'Primer Trim 2020'!$B$92:$B$93</c:f>
              <c:numCache>
                <c:formatCode>0.00%</c:formatCode>
                <c:ptCount val="2"/>
                <c:pt idx="0">
                  <c:v>0.87068965517241381</c:v>
                </c:pt>
                <c:pt idx="1">
                  <c:v>0.12931034482758622</c:v>
                </c:pt>
              </c:numCache>
            </c:numRef>
          </c:val>
          <c:extLst>
            <c:ext xmlns:c16="http://schemas.microsoft.com/office/drawing/2014/chart" uri="{C3380CC4-5D6E-409C-BE32-E72D297353CC}">
              <c16:uniqueId val="{00000004-913F-4C3A-BC73-DA7CEA1AA5D7}"/>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D78B-4513-81C6-BF26A392FC06}"/>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D78B-4513-81C6-BF26A392FC06}"/>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8B-4513-81C6-BF26A392FC06}"/>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8B-4513-81C6-BF26A392FC06}"/>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2020'!$A$96:$A$97</c:f>
              <c:strCache>
                <c:ptCount val="2"/>
                <c:pt idx="0">
                  <c:v>Clasificaciones emitidas por el Comité</c:v>
                </c:pt>
                <c:pt idx="1">
                  <c:v>Recursos de Revisión promovidos</c:v>
                </c:pt>
              </c:strCache>
            </c:strRef>
          </c:cat>
          <c:val>
            <c:numRef>
              <c:f>'Primer Trim 2020'!$B$96:$B$97</c:f>
              <c:numCache>
                <c:formatCode>General</c:formatCode>
                <c:ptCount val="2"/>
                <c:pt idx="0">
                  <c:v>24</c:v>
                </c:pt>
                <c:pt idx="1">
                  <c:v>0</c:v>
                </c:pt>
              </c:numCache>
            </c:numRef>
          </c:val>
          <c:extLst>
            <c:ext xmlns:c16="http://schemas.microsoft.com/office/drawing/2014/chart" uri="{C3380CC4-5D6E-409C-BE32-E72D297353CC}">
              <c16:uniqueId val="{00000004-D78B-4513-81C6-BF26A392FC06}"/>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A8F5-8997-4438-8678-267BAF35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942</Words>
  <Characters>5186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33</cp:revision>
  <cp:lastPrinted>2020-02-04T16:26:00Z</cp:lastPrinted>
  <dcterms:created xsi:type="dcterms:W3CDTF">2020-07-09T23:39:00Z</dcterms:created>
  <dcterms:modified xsi:type="dcterms:W3CDTF">2021-03-10T01:12:00Z</dcterms:modified>
</cp:coreProperties>
</file>