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A29F" w14:textId="77777777" w:rsidR="007D239B" w:rsidRPr="0023400E" w:rsidRDefault="007D239B" w:rsidP="00EF4AD2">
      <w:pPr>
        <w:shd w:val="clear" w:color="auto" w:fill="668CD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419"/>
        </w:rPr>
      </w:pPr>
      <w:r w:rsidRPr="0023400E">
        <w:rPr>
          <w:rFonts w:ascii="Times New Roman" w:hAnsi="Times New Roman" w:cs="Times New Roman"/>
          <w:b/>
          <w:bCs/>
          <w:sz w:val="28"/>
          <w:szCs w:val="28"/>
          <w:lang w:val="es-419"/>
        </w:rPr>
        <w:t>RESEÑAS DE LA PRIMERA SALA</w:t>
      </w:r>
    </w:p>
    <w:p w14:paraId="0A1621AE" w14:textId="77777777" w:rsidR="00EF4AD2" w:rsidRDefault="00EF4AD2" w:rsidP="00EF4A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18B77B9F" w14:textId="77777777" w:rsidR="00EF4AD2" w:rsidRDefault="00EF4AD2" w:rsidP="00EF4A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3D30A6B2" w14:textId="520E5422" w:rsidR="007D239B" w:rsidRDefault="00DF6187" w:rsidP="00EF4A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  <w:r w:rsidRPr="0023400E">
        <w:rPr>
          <w:rFonts w:ascii="Times New Roman" w:hAnsi="Times New Roman" w:cs="Times New Roman"/>
          <w:b/>
          <w:sz w:val="26"/>
          <w:szCs w:val="26"/>
          <w:lang w:val="es-419"/>
        </w:rPr>
        <w:t>AMPARO DIRECTO EN REVISIÓN 1958</w:t>
      </w:r>
      <w:r w:rsidR="007D239B" w:rsidRPr="0023400E">
        <w:rPr>
          <w:rFonts w:ascii="Times New Roman" w:hAnsi="Times New Roman" w:cs="Times New Roman"/>
          <w:b/>
          <w:sz w:val="26"/>
          <w:szCs w:val="26"/>
          <w:lang w:val="es-419"/>
        </w:rPr>
        <w:t>/2020</w:t>
      </w:r>
    </w:p>
    <w:p w14:paraId="0ABE803C" w14:textId="77777777" w:rsidR="00EF4AD2" w:rsidRPr="0023400E" w:rsidRDefault="00EF4AD2" w:rsidP="00EF4A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s-419"/>
        </w:rPr>
      </w:pPr>
    </w:p>
    <w:p w14:paraId="0E77DAF3" w14:textId="4F8FDB37" w:rsidR="007D239B" w:rsidRPr="0023400E" w:rsidRDefault="005E04B5" w:rsidP="00EF4AD2">
      <w:pPr>
        <w:shd w:val="clear" w:color="auto" w:fill="DBDBDB" w:themeFill="accent3" w:themeFillTint="66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s-419"/>
        </w:rPr>
      </w:pPr>
      <w:r w:rsidRPr="0023400E">
        <w:rPr>
          <w:rFonts w:ascii="Times New Roman" w:hAnsi="Times New Roman" w:cs="Times New Roman"/>
          <w:smallCaps/>
          <w:spacing w:val="-2"/>
          <w:sz w:val="26"/>
          <w:szCs w:val="26"/>
          <w:lang w:val="es-419"/>
        </w:rPr>
        <w:t>Discriminación en las ofertas de empleo donde se manifiestan determinadas preferencias y las medidas de reparación ante estos actos.</w:t>
      </w:r>
    </w:p>
    <w:p w14:paraId="7E53FED0" w14:textId="77777777" w:rsidR="00794EB8" w:rsidRDefault="00794EB8" w:rsidP="00EF4AD2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</w:p>
    <w:p w14:paraId="5DF665C1" w14:textId="54A16AED" w:rsidR="005E04B5" w:rsidRPr="0023400E" w:rsidRDefault="005E04B5" w:rsidP="00EF4AD2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b/>
          <w:bCs/>
          <w:smallCaps/>
          <w:sz w:val="24"/>
          <w:szCs w:val="24"/>
          <w:lang w:val="es-419"/>
        </w:rPr>
        <w:t>Ponente: Ministro Juan Luis González Alcántara Carrancá</w:t>
      </w:r>
      <w:r w:rsidR="00EF4AD2" w:rsidRPr="000929D2">
        <w:rPr>
          <w:rFonts w:ascii="Times New Roman" w:hAnsi="Times New Roman" w:cs="Times New Roman"/>
          <w:smallCaps/>
          <w:sz w:val="24"/>
          <w:szCs w:val="24"/>
          <w:lang w:val="es-419"/>
        </w:rPr>
        <w:t>.</w:t>
      </w:r>
    </w:p>
    <w:p w14:paraId="50AA8736" w14:textId="7FCE3F32" w:rsidR="005E04B5" w:rsidRPr="0023400E" w:rsidRDefault="005E04B5" w:rsidP="00EF4AD2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Secretari</w:t>
      </w:r>
      <w:r w:rsidR="005C437A">
        <w:rPr>
          <w:rFonts w:ascii="Times New Roman" w:hAnsi="Times New Roman" w:cs="Times New Roman"/>
          <w:smallCaps/>
          <w:sz w:val="24"/>
          <w:szCs w:val="24"/>
          <w:lang w:val="es-419"/>
        </w:rPr>
        <w:t>a</w:t>
      </w:r>
      <w:r w:rsidRPr="0023400E">
        <w:rPr>
          <w:rFonts w:ascii="Times New Roman" w:hAnsi="Times New Roman" w:cs="Times New Roman"/>
          <w:smallCaps/>
          <w:sz w:val="24"/>
          <w:szCs w:val="24"/>
          <w:lang w:val="es-419"/>
        </w:rPr>
        <w:t>: Mónica Cacho Maldonado</w:t>
      </w:r>
      <w:r w:rsidR="00EF4AD2">
        <w:rPr>
          <w:rFonts w:ascii="Times New Roman" w:hAnsi="Times New Roman" w:cs="Times New Roman"/>
          <w:smallCaps/>
          <w:sz w:val="24"/>
          <w:szCs w:val="24"/>
          <w:lang w:val="es-419"/>
        </w:rPr>
        <w:t>.</w:t>
      </w:r>
    </w:p>
    <w:p w14:paraId="1072A243" w14:textId="77777777" w:rsidR="005E04B5" w:rsidRPr="0023400E" w:rsidRDefault="005E04B5" w:rsidP="005E0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39B" w:rsidRPr="0023400E" w14:paraId="7E2D2620" w14:textId="77777777" w:rsidTr="00C40B49">
        <w:tc>
          <w:tcPr>
            <w:tcW w:w="8828" w:type="dxa"/>
          </w:tcPr>
          <w:p w14:paraId="0A7F1B90" w14:textId="37A1C6A3" w:rsidR="007D239B" w:rsidRPr="0023400E" w:rsidRDefault="007D239B" w:rsidP="00B968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r w:rsidRPr="002340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>Resumen</w:t>
            </w:r>
            <w:r w:rsidR="00EF4A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  <w:t>:</w:t>
            </w:r>
          </w:p>
          <w:p w14:paraId="5D2F3417" w14:textId="77777777" w:rsidR="00B968F2" w:rsidRPr="0023400E" w:rsidRDefault="00B968F2" w:rsidP="00B96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4B27A040" w14:textId="1DCAB0B0" w:rsidR="00AB0022" w:rsidRPr="0023400E" w:rsidRDefault="007D239B" w:rsidP="00B96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Una </w:t>
            </w:r>
            <w:r w:rsidR="003D5A1A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a</w:t>
            </w: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sociación </w:t>
            </w:r>
            <w:r w:rsidR="003D5A1A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</w:t>
            </w: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ivil demandó a </w:t>
            </w:r>
            <w:r w:rsidR="00AB0022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dos empresas. La primera era una compañía que publicó en internet una convocatoria de trabajo para l</w:t>
            </w:r>
            <w:r w:rsidR="0055268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os</w:t>
            </w:r>
            <w:r w:rsidR="00AB0022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puesto</w:t>
            </w:r>
            <w:r w:rsidR="00552685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s</w:t>
            </w:r>
            <w:r w:rsidR="00AB0022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de Ingeniero Agrónomo y Técnico Agrícola, ambos entre 25 a </w:t>
            </w:r>
            <w:r w:rsidR="003D5A1A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4</w:t>
            </w:r>
            <w:r w:rsidR="00AB0022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5 años. La segunda fue la empresa dueña de la plataforma en donde fue publicada la convocatoria de trabajo. </w:t>
            </w:r>
          </w:p>
          <w:p w14:paraId="49290F90" w14:textId="77777777" w:rsidR="006B7463" w:rsidRPr="0023400E" w:rsidRDefault="006B7463" w:rsidP="00B968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  <w:p w14:paraId="662CF5D4" w14:textId="108D1817" w:rsidR="007D239B" w:rsidRPr="0023400E" w:rsidRDefault="00AB0022" w:rsidP="00B968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La </w:t>
            </w:r>
            <w:r w:rsidR="003D5A1A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a</w:t>
            </w: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sociación </w:t>
            </w:r>
            <w:r w:rsidR="003D5A1A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c</w:t>
            </w: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ivil consideró que la oferta de trabajo exigía un rango de edad injustificado. Por </w:t>
            </w:r>
            <w:r w:rsidR="003D5A1A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tal motivo, </w:t>
            </w: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interpuso un amparo </w:t>
            </w:r>
            <w:r w:rsidR="003D5A1A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que es objeto de estudio en este asunto, a fin de determinar </w:t>
            </w: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si </w:t>
            </w:r>
            <w:r w:rsidR="00FE288D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el requisito de edad de la convocatoria de trabajo establece una distinción que afecta el</w:t>
            </w:r>
            <w:r w:rsidR="00DF6187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 derecho a la </w:t>
            </w: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 xml:space="preserve">igualdad y </w:t>
            </w:r>
            <w:r w:rsidR="00DF6187"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no discriminación</w:t>
            </w: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.</w:t>
            </w:r>
          </w:p>
          <w:p w14:paraId="4562E662" w14:textId="36EE11C8" w:rsidR="00B968F2" w:rsidRPr="0023400E" w:rsidRDefault="00B968F2" w:rsidP="00B968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419"/>
              </w:rPr>
            </w:pPr>
          </w:p>
        </w:tc>
      </w:tr>
    </w:tbl>
    <w:p w14:paraId="2F8B05C6" w14:textId="77777777" w:rsidR="00EF4AD2" w:rsidRDefault="00EF4AD2" w:rsidP="00B96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</w:p>
    <w:p w14:paraId="7AE218DB" w14:textId="77777777" w:rsidR="00EF4AD2" w:rsidRDefault="00EF4AD2" w:rsidP="00B96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</w:p>
    <w:p w14:paraId="75E4A10E" w14:textId="036954AD" w:rsidR="007D239B" w:rsidRPr="0023400E" w:rsidRDefault="007D239B" w:rsidP="00B96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23400E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Antecedentes del caso</w:t>
      </w:r>
      <w:r w:rsidR="00EF4AD2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:</w:t>
      </w:r>
    </w:p>
    <w:p w14:paraId="3FA203C7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</w:p>
    <w:p w14:paraId="5F037EAF" w14:textId="5E81C5CF" w:rsidR="007D239B" w:rsidRPr="0023400E" w:rsidRDefault="007D239B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En febrero de dos mil diecisiete, una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sociación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ivil demandó en la vía ordinaria </w:t>
      </w:r>
      <w:r w:rsidR="0054281D" w:rsidRPr="0023400E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ivil a </w:t>
      </w:r>
      <w:r w:rsidR="00FE288D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una empresa agrícola que publicó una convocatoria de trabajo en una plataforma laboral. Esta convocatoria establecía que los postulantes debían tener entre 25 y 45 años para poder aplicar a los puestos que ofertaba. La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FE288D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sociación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="00FE288D" w:rsidRPr="0023400E">
        <w:rPr>
          <w:rFonts w:ascii="Times New Roman" w:hAnsi="Times New Roman" w:cs="Times New Roman"/>
          <w:sz w:val="24"/>
          <w:szCs w:val="24"/>
          <w:lang w:val="es-419"/>
        </w:rPr>
        <w:t>ivil consideró que este requisito era discriminatorio así que demandó tanto a la empresa agrícola como a la compañía dueña de la página web en dónde se publicó la oferta laboral.</w:t>
      </w:r>
    </w:p>
    <w:p w14:paraId="397F9A1E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241FEF4B" w14:textId="60124F78" w:rsidR="007D239B" w:rsidRPr="0023400E" w:rsidRDefault="00FE288D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z w:val="24"/>
          <w:szCs w:val="24"/>
          <w:lang w:val="es-419"/>
        </w:rPr>
        <w:t>En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primera instancia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el Juez 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>absolvió a las demanda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da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s.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Por lo que la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sociación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ivil apeló. En la sentencia de segunda instancia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la Sala Civil condenó a las demandadas a pagar distintas prestaciones que reclamó la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sociación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ivil. Sin embargo,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é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sta recurrió al amparo y le solicitó a la Suprema Corte que interpretara el derecho a la igualdad y no discriminación y determinara si las dos empresas demanda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>da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 estaban transgrediendo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este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derecho.</w:t>
      </w:r>
    </w:p>
    <w:p w14:paraId="416B3D39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6578CEB5" w14:textId="26DB8134" w:rsidR="007D239B" w:rsidRPr="0023400E" w:rsidRDefault="007D239B" w:rsidP="00B96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23400E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Resolución de la Primera Sala</w:t>
      </w:r>
      <w:r w:rsidR="00EF4AD2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:</w:t>
      </w:r>
    </w:p>
    <w:p w14:paraId="2B00C546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69EE0E6" w14:textId="4A188DB2" w:rsidR="00E32AA5" w:rsidRPr="0023400E" w:rsidRDefault="00E32AA5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La Primera Sala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determinó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que las empresas no pueden establecer preferencias injustificadas y no razonables en sus ofertas laborales pues esto conllevaría un acto discriminatorio</w:t>
      </w:r>
      <w:r w:rsidR="00E86B92" w:rsidRPr="0023400E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49C157BC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7826CE03" w14:textId="6B201B39" w:rsidR="00C83B87" w:rsidRPr="0023400E" w:rsidRDefault="00E86B9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La sentencia que resuelve el amparo 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sostiene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que los jueces 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>debe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n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atender a tres factores para medir la incidencia de no discriminación en el ámbito privado cuando se confronta con el principio de la autonomía de la voluntad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de las partes. Estos son: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i)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l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a relación </w:t>
      </w:r>
      <w:r w:rsidR="000E3C51" w:rsidRPr="0023400E">
        <w:rPr>
          <w:rFonts w:ascii="Times New Roman" w:hAnsi="Times New Roman" w:cs="Times New Roman"/>
          <w:sz w:val="24"/>
          <w:szCs w:val="24"/>
          <w:lang w:val="es-419"/>
        </w:rPr>
        <w:t>de disparidad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entre las partes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;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>ii</w:t>
      </w:r>
      <w:proofErr w:type="spellEnd"/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)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>l patrón de conducta generalizado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y,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>ii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i</w:t>
      </w:r>
      <w:proofErr w:type="spellEnd"/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)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l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>a afectación al núcleo esencial de la dignidad de las personas.</w:t>
      </w:r>
    </w:p>
    <w:p w14:paraId="21E7EABB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3BA4FF7" w14:textId="2B544CD9" w:rsidR="007D239B" w:rsidRPr="0023400E" w:rsidRDefault="000E3C51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Suprema </w:t>
      </w:r>
      <w:r w:rsidR="00E86B92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Corte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estableció que l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a distinción por edad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parte de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pre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juicios homogéneos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y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>no puede utilizarse para argumentar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E86B92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>falta de experiencia o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>deficiencia de la capacidad física. E</w:t>
      </w:r>
      <w:r w:rsidR="00E86B92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sto con la salvedad 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de </w:t>
      </w:r>
      <w:r w:rsidR="00E86B92" w:rsidRPr="0023400E">
        <w:rPr>
          <w:rFonts w:ascii="Times New Roman" w:hAnsi="Times New Roman" w:cs="Times New Roman"/>
          <w:sz w:val="24"/>
          <w:szCs w:val="24"/>
          <w:lang w:val="es-419"/>
        </w:rPr>
        <w:t>lo que resulte d</w:t>
      </w:r>
      <w:r w:rsidR="00C83B87" w:rsidRPr="0023400E">
        <w:rPr>
          <w:rFonts w:ascii="Times New Roman" w:hAnsi="Times New Roman" w:cs="Times New Roman"/>
          <w:sz w:val="24"/>
          <w:szCs w:val="24"/>
          <w:lang w:val="es-419"/>
        </w:rPr>
        <w:t>el proceso de reclutamiento</w:t>
      </w:r>
      <w:r w:rsidR="00E86B92" w:rsidRPr="0023400E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725BAF9F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7A44808" w14:textId="5924C30D" w:rsidR="00E32AA5" w:rsidRPr="0023400E" w:rsidRDefault="00E86B9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z w:val="24"/>
          <w:szCs w:val="24"/>
          <w:lang w:val="es-419"/>
        </w:rPr>
        <w:t>Respecto a las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medidas de reparación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que proceden en los casos en los que las ofertas de trabajo se basen en supuestos 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>discriminatorios</w:t>
      </w:r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, debe buscarse 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>restaur</w:t>
      </w:r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>ar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la situación </w:t>
      </w:r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al estado 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>anterior</w:t>
      </w:r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a los actos discriminatorios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o </w:t>
      </w:r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reparar el daño. Sin embargo, si 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>no se ha llegado a producir un daño efectivo, no existe la obligación de indemnizar.</w:t>
      </w:r>
    </w:p>
    <w:p w14:paraId="7A41E168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3B231C5" w14:textId="7DFFB800" w:rsidR="007D239B" w:rsidRPr="0023400E" w:rsidRDefault="009D3161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En el caso, la 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Primera Sala </w:t>
      </w:r>
      <w:r w:rsidR="006C0D63" w:rsidRPr="0023400E">
        <w:rPr>
          <w:rFonts w:ascii="Times New Roman" w:hAnsi="Times New Roman" w:cs="Times New Roman"/>
          <w:sz w:val="24"/>
          <w:szCs w:val="24"/>
          <w:lang w:val="es-419"/>
        </w:rPr>
        <w:t>retomó que el artículo 1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>o</w:t>
      </w:r>
      <w:r w:rsidR="006C0D63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de la Constitución 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Federal </w:t>
      </w:r>
      <w:r w:rsidR="006C0D63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prohíbe la discriminación. 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>Al respecto, precisó que</w:t>
      </w:r>
      <w:r w:rsidR="0023400E" w:rsidRPr="0023400E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e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>n el ámbito laboral</w:t>
      </w:r>
      <w:r w:rsidR="00433764" w:rsidRPr="0023400E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la</w:t>
      </w:r>
      <w:r w:rsidR="006C0D63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discriminación puede tomar la forma de 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sesgos injustificados </w:t>
      </w:r>
      <w:r w:rsidR="006C0D63" w:rsidRPr="0023400E">
        <w:rPr>
          <w:rFonts w:ascii="Times New Roman" w:hAnsi="Times New Roman" w:cs="Times New Roman"/>
          <w:sz w:val="24"/>
          <w:szCs w:val="24"/>
          <w:lang w:val="es-419"/>
        </w:rPr>
        <w:t>que derivan de prejuicios sobre que ciertas características hacen a las personas poco aptas para un determinado trabajo.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Si esta diferencia de trato no se encuentra justificada </w:t>
      </w:r>
      <w:r w:rsidR="006C0D63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en 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>la naturaleza de la activad profesional concreta</w:t>
      </w:r>
      <w:r w:rsidR="006C0D63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, es decir, que no sea 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>un requisito profesional</w:t>
      </w:r>
      <w:r w:rsidR="00653B0C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necesario</w:t>
      </w:r>
      <w:r w:rsidR="007D239B" w:rsidRPr="0023400E">
        <w:rPr>
          <w:rFonts w:ascii="Times New Roman" w:hAnsi="Times New Roman" w:cs="Times New Roman"/>
          <w:sz w:val="24"/>
          <w:szCs w:val="24"/>
          <w:lang w:val="es-419"/>
        </w:rPr>
        <w:t>, es evidente que se incurre en un supuesto de discriminación laboral.</w:t>
      </w:r>
    </w:p>
    <w:p w14:paraId="2F61A3B6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262C261D" w14:textId="4C713DEE" w:rsidR="00E32AA5" w:rsidRPr="0023400E" w:rsidRDefault="00433764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z w:val="24"/>
          <w:szCs w:val="24"/>
          <w:lang w:val="es-419"/>
        </w:rPr>
        <w:t>De esta manera,</w:t>
      </w:r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la Primera Sala de la Suprema Corte concluyó que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hacer una distinción o preferencia por determinado rango de edad sin una </w:t>
      </w:r>
      <w:proofErr w:type="spellStart"/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>causal</w:t>
      </w:r>
      <w:proofErr w:type="spellEnd"/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justificada </w:t>
      </w:r>
      <w:r w:rsidR="00F723D0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sí 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>actualiza la violación al derecho de igualdad y no discriminación</w:t>
      </w:r>
      <w:r w:rsidR="00F723D0" w:rsidRPr="0023400E">
        <w:rPr>
          <w:rFonts w:ascii="Times New Roman" w:hAnsi="Times New Roman" w:cs="Times New Roman"/>
          <w:sz w:val="24"/>
          <w:szCs w:val="24"/>
          <w:lang w:val="es-419"/>
        </w:rPr>
        <w:t>, p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>orque</w:t>
      </w:r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la distinción de 25 a 45 </w:t>
      </w:r>
      <w:proofErr w:type="gramStart"/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>años de edad</w:t>
      </w:r>
      <w:proofErr w:type="gramEnd"/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no respond</w:t>
      </w:r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>ía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a un parámetro de razonabilidad</w:t>
      </w:r>
      <w:r w:rsidR="009D3161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en el caso concreto. </w:t>
      </w:r>
    </w:p>
    <w:p w14:paraId="50B58553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14:paraId="06BEEE52" w14:textId="4DF85E83" w:rsidR="007D239B" w:rsidRPr="0023400E" w:rsidRDefault="007D239B" w:rsidP="00B968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</w:pPr>
      <w:r w:rsidRPr="0023400E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Votación</w:t>
      </w:r>
      <w:r w:rsidR="00EF4AD2">
        <w:rPr>
          <w:rFonts w:ascii="Times New Roman" w:hAnsi="Times New Roman" w:cs="Times New Roman"/>
          <w:b/>
          <w:bCs/>
          <w:sz w:val="24"/>
          <w:szCs w:val="24"/>
          <w:shd w:val="clear" w:color="auto" w:fill="BDD6EE" w:themeFill="accent1" w:themeFillTint="66"/>
          <w:lang w:val="es-419"/>
        </w:rPr>
        <w:t>:</w:t>
      </w:r>
    </w:p>
    <w:p w14:paraId="53811654" w14:textId="77777777" w:rsidR="00B968F2" w:rsidRPr="0023400E" w:rsidRDefault="00B968F2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5C973B6" w14:textId="5EC8AC26" w:rsidR="007D239B" w:rsidRPr="0023400E" w:rsidRDefault="007D239B" w:rsidP="00B96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23400E">
        <w:rPr>
          <w:rFonts w:ascii="Times New Roman" w:hAnsi="Times New Roman" w:cs="Times New Roman"/>
          <w:sz w:val="24"/>
          <w:szCs w:val="24"/>
          <w:lang w:val="es-419"/>
        </w:rPr>
        <w:t>El asunto fu</w:t>
      </w:r>
      <w:r w:rsidR="00023FB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e aprobado </w:t>
      </w:r>
      <w:r w:rsidR="003D5A1A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en sesión de la Primera Sala del 11 de agosto de 2021, </w:t>
      </w:r>
      <w:r w:rsidR="00023FB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por 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>unanimidad de cinco votos de</w:t>
      </w:r>
      <w:r w:rsidR="00023FB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la señora </w:t>
      </w:r>
      <w:proofErr w:type="gramStart"/>
      <w:r w:rsidR="00023FB7" w:rsidRPr="0023400E">
        <w:rPr>
          <w:rFonts w:ascii="Times New Roman" w:hAnsi="Times New Roman" w:cs="Times New Roman"/>
          <w:sz w:val="24"/>
          <w:szCs w:val="24"/>
          <w:lang w:val="es-419"/>
        </w:rPr>
        <w:t>Ministra</w:t>
      </w:r>
      <w:proofErr w:type="gramEnd"/>
      <w:r w:rsidR="00023FB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 Norma Lucía Piña Hernández, y de los </w:t>
      </w:r>
      <w:r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señores Ministros Juan Luis González Alcántara Carrancá (Ponente), Jorge Mario Pardo Rebolledo, Alfredo </w:t>
      </w:r>
      <w:r w:rsidR="00023FB7" w:rsidRPr="0023400E">
        <w:rPr>
          <w:rFonts w:ascii="Times New Roman" w:hAnsi="Times New Roman" w:cs="Times New Roman"/>
          <w:sz w:val="24"/>
          <w:szCs w:val="24"/>
          <w:lang w:val="es-419"/>
        </w:rPr>
        <w:t xml:space="preserve">Gutiérrez Ortiz Mena y Ministra Presidenta Ana Margarita Ríos </w:t>
      </w:r>
      <w:r w:rsidR="00E32AA5" w:rsidRPr="0023400E">
        <w:rPr>
          <w:rFonts w:ascii="Times New Roman" w:hAnsi="Times New Roman" w:cs="Times New Roman"/>
          <w:sz w:val="24"/>
          <w:szCs w:val="24"/>
          <w:lang w:val="es-419"/>
        </w:rPr>
        <w:t>Farjat.</w:t>
      </w:r>
    </w:p>
    <w:p w14:paraId="7C690898" w14:textId="1A6581EC" w:rsidR="007D239B" w:rsidRPr="0023400E" w:rsidRDefault="007D239B" w:rsidP="00B968F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23400E" w:rsidRPr="0023400E" w14:paraId="7E4DDDA6" w14:textId="77777777" w:rsidTr="00151A7C">
        <w:tc>
          <w:tcPr>
            <w:tcW w:w="8828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auto"/>
          </w:tcPr>
          <w:p w14:paraId="15D82C1A" w14:textId="77777777" w:rsidR="0023400E" w:rsidRPr="0023400E" w:rsidRDefault="0023400E" w:rsidP="00151A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bookmarkStart w:id="0" w:name="_Hlk88556714"/>
          </w:p>
          <w:p w14:paraId="2120ADF3" w14:textId="77777777" w:rsidR="0023400E" w:rsidRPr="0023400E" w:rsidRDefault="0023400E" w:rsidP="00151A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  <w:r w:rsidRPr="0023400E">
              <w:rPr>
                <w:rFonts w:ascii="Times New Roman" w:hAnsi="Times New Roman" w:cs="Times New Roman"/>
                <w:sz w:val="20"/>
                <w:szCs w:val="20"/>
                <w:lang w:val="es-419"/>
              </w:rPr>
              <w:t>Documento con fines de difusión. Las únicas fuentes oficiales son las sentencias emitidas por la Suprema Corte de Justicia de la Nación, así como el Semanario Judicial de la Federación y su Gaceta.</w:t>
            </w:r>
          </w:p>
          <w:p w14:paraId="7DBE0835" w14:textId="77777777" w:rsidR="0023400E" w:rsidRPr="0023400E" w:rsidRDefault="0023400E" w:rsidP="00151A7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419"/>
              </w:rPr>
            </w:pPr>
          </w:p>
        </w:tc>
      </w:tr>
      <w:bookmarkEnd w:id="0"/>
    </w:tbl>
    <w:p w14:paraId="09D511E9" w14:textId="65722435" w:rsidR="00525A95" w:rsidRPr="0023400E" w:rsidRDefault="00525A95" w:rsidP="0023400E">
      <w:pPr>
        <w:spacing w:after="0" w:line="240" w:lineRule="auto"/>
        <w:jc w:val="both"/>
        <w:rPr>
          <w:lang w:val="es-419"/>
        </w:rPr>
      </w:pPr>
    </w:p>
    <w:sectPr w:rsidR="00525A95" w:rsidRPr="00234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CF6F" w14:textId="77777777" w:rsidR="000422BE" w:rsidRDefault="000422BE" w:rsidP="004412F1">
      <w:pPr>
        <w:spacing w:after="0" w:line="240" w:lineRule="auto"/>
      </w:pPr>
      <w:r>
        <w:separator/>
      </w:r>
    </w:p>
  </w:endnote>
  <w:endnote w:type="continuationSeparator" w:id="0">
    <w:p w14:paraId="2D1706E5" w14:textId="77777777" w:rsidR="000422BE" w:rsidRDefault="000422BE" w:rsidP="0044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F8B8" w14:textId="77777777" w:rsidR="004412F1" w:rsidRDefault="004412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01972708"/>
      <w:docPartObj>
        <w:docPartGallery w:val="Page Numbers (Bottom of Page)"/>
        <w:docPartUnique/>
      </w:docPartObj>
    </w:sdtPr>
    <w:sdtEndPr/>
    <w:sdtContent>
      <w:p w14:paraId="07B0B7B3" w14:textId="62934881" w:rsidR="004412F1" w:rsidRPr="004412F1" w:rsidRDefault="004412F1">
        <w:pPr>
          <w:pStyle w:val="Piedepgina"/>
          <w:jc w:val="center"/>
          <w:rPr>
            <w:rFonts w:ascii="Times New Roman" w:hAnsi="Times New Roman" w:cs="Times New Roman"/>
          </w:rPr>
        </w:pPr>
        <w:r w:rsidRPr="004412F1">
          <w:rPr>
            <w:rFonts w:ascii="Times New Roman" w:hAnsi="Times New Roman" w:cs="Times New Roman"/>
          </w:rPr>
          <w:fldChar w:fldCharType="begin"/>
        </w:r>
        <w:r w:rsidRPr="004412F1">
          <w:rPr>
            <w:rFonts w:ascii="Times New Roman" w:hAnsi="Times New Roman" w:cs="Times New Roman"/>
          </w:rPr>
          <w:instrText>PAGE   \* MERGEFORMAT</w:instrText>
        </w:r>
        <w:r w:rsidRPr="004412F1">
          <w:rPr>
            <w:rFonts w:ascii="Times New Roman" w:hAnsi="Times New Roman" w:cs="Times New Roman"/>
          </w:rPr>
          <w:fldChar w:fldCharType="separate"/>
        </w:r>
        <w:r w:rsidRPr="004412F1">
          <w:rPr>
            <w:rFonts w:ascii="Times New Roman" w:hAnsi="Times New Roman" w:cs="Times New Roman"/>
            <w:lang w:val="es-ES"/>
          </w:rPr>
          <w:t>2</w:t>
        </w:r>
        <w:r w:rsidRPr="004412F1">
          <w:rPr>
            <w:rFonts w:ascii="Times New Roman" w:hAnsi="Times New Roman" w:cs="Times New Roman"/>
          </w:rPr>
          <w:fldChar w:fldCharType="end"/>
        </w:r>
      </w:p>
    </w:sdtContent>
  </w:sdt>
  <w:p w14:paraId="4DE43325" w14:textId="77777777" w:rsidR="004412F1" w:rsidRDefault="004412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BE51" w14:textId="77777777" w:rsidR="004412F1" w:rsidRDefault="004412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91ED" w14:textId="77777777" w:rsidR="000422BE" w:rsidRDefault="000422BE" w:rsidP="004412F1">
      <w:pPr>
        <w:spacing w:after="0" w:line="240" w:lineRule="auto"/>
      </w:pPr>
      <w:r>
        <w:separator/>
      </w:r>
    </w:p>
  </w:footnote>
  <w:footnote w:type="continuationSeparator" w:id="0">
    <w:p w14:paraId="412416E3" w14:textId="77777777" w:rsidR="000422BE" w:rsidRDefault="000422BE" w:rsidP="0044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885E" w14:textId="77777777" w:rsidR="004412F1" w:rsidRDefault="004412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2E2D" w14:textId="77777777" w:rsidR="004412F1" w:rsidRDefault="004412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4008" w14:textId="77777777" w:rsidR="004412F1" w:rsidRDefault="004412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39B"/>
    <w:rsid w:val="00001087"/>
    <w:rsid w:val="00023FB7"/>
    <w:rsid w:val="000422BE"/>
    <w:rsid w:val="000929D2"/>
    <w:rsid w:val="000E3C51"/>
    <w:rsid w:val="0023400E"/>
    <w:rsid w:val="00313A7A"/>
    <w:rsid w:val="00325BF6"/>
    <w:rsid w:val="003D5A1A"/>
    <w:rsid w:val="00433764"/>
    <w:rsid w:val="004412F1"/>
    <w:rsid w:val="00525A95"/>
    <w:rsid w:val="0054281D"/>
    <w:rsid w:val="00552685"/>
    <w:rsid w:val="005C437A"/>
    <w:rsid w:val="005E04B5"/>
    <w:rsid w:val="00653B0C"/>
    <w:rsid w:val="0069675E"/>
    <w:rsid w:val="006B7463"/>
    <w:rsid w:val="006C0D63"/>
    <w:rsid w:val="00744800"/>
    <w:rsid w:val="00794EB8"/>
    <w:rsid w:val="007A4F8F"/>
    <w:rsid w:val="007B176C"/>
    <w:rsid w:val="007D239B"/>
    <w:rsid w:val="009D3161"/>
    <w:rsid w:val="00AB0022"/>
    <w:rsid w:val="00AC442D"/>
    <w:rsid w:val="00AD6516"/>
    <w:rsid w:val="00B968F2"/>
    <w:rsid w:val="00C732E3"/>
    <w:rsid w:val="00C83B87"/>
    <w:rsid w:val="00C95F83"/>
    <w:rsid w:val="00CB2B18"/>
    <w:rsid w:val="00D27291"/>
    <w:rsid w:val="00DF6187"/>
    <w:rsid w:val="00E32AA5"/>
    <w:rsid w:val="00E86B92"/>
    <w:rsid w:val="00EF4AD2"/>
    <w:rsid w:val="00F03281"/>
    <w:rsid w:val="00F723D0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B14C"/>
  <w15:chartTrackingRefBased/>
  <w15:docId w15:val="{6B813E9E-780A-4049-AE6E-3AA39D09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AA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D5A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41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2F1"/>
  </w:style>
  <w:style w:type="paragraph" w:styleId="Piedepgina">
    <w:name w:val="footer"/>
    <w:basedOn w:val="Normal"/>
    <w:link w:val="PiedepginaCar"/>
    <w:uiPriority w:val="99"/>
    <w:unhideWhenUsed/>
    <w:rsid w:val="00441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Aspire5</dc:creator>
  <cp:keywords/>
  <dc:description/>
  <cp:lastModifiedBy>BRUNO ALEJANDRO PATIÑO RENTERIA</cp:lastModifiedBy>
  <cp:revision>16</cp:revision>
  <cp:lastPrinted>2021-11-12T16:31:00Z</cp:lastPrinted>
  <dcterms:created xsi:type="dcterms:W3CDTF">2021-11-12T19:01:00Z</dcterms:created>
  <dcterms:modified xsi:type="dcterms:W3CDTF">2022-02-08T18:15:00Z</dcterms:modified>
</cp:coreProperties>
</file>