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B153" w14:textId="77777777" w:rsidR="00EC7BB7" w:rsidRPr="00DB536C" w:rsidRDefault="00EC7BB7" w:rsidP="00DB536C">
      <w:pPr>
        <w:shd w:val="clear" w:color="auto" w:fill="668CD0"/>
        <w:spacing w:after="0" w:line="240" w:lineRule="auto"/>
        <w:jc w:val="center"/>
        <w:rPr>
          <w:rFonts w:ascii="Times New Roman" w:hAnsi="Times New Roman" w:cs="Times New Roman"/>
          <w:b/>
          <w:bCs/>
          <w:sz w:val="28"/>
          <w:szCs w:val="28"/>
          <w:lang w:val="es-419"/>
        </w:rPr>
      </w:pPr>
      <w:r w:rsidRPr="00DB536C">
        <w:rPr>
          <w:rFonts w:ascii="Times New Roman" w:hAnsi="Times New Roman" w:cs="Times New Roman"/>
          <w:b/>
          <w:bCs/>
          <w:sz w:val="28"/>
          <w:szCs w:val="28"/>
          <w:lang w:val="es-419"/>
        </w:rPr>
        <w:t>RESEÑAS DE LA PRIMERA SALA</w:t>
      </w:r>
    </w:p>
    <w:p w14:paraId="524F6DA0" w14:textId="77777777" w:rsidR="00DB536C" w:rsidRDefault="00DB536C" w:rsidP="00DB536C">
      <w:pPr>
        <w:spacing w:after="0" w:line="240" w:lineRule="auto"/>
        <w:jc w:val="center"/>
        <w:rPr>
          <w:rFonts w:ascii="Times New Roman" w:hAnsi="Times New Roman" w:cs="Times New Roman"/>
          <w:b/>
          <w:sz w:val="26"/>
          <w:szCs w:val="26"/>
          <w:lang w:val="es-419"/>
        </w:rPr>
      </w:pPr>
    </w:p>
    <w:p w14:paraId="0AEE980B" w14:textId="4C2D822B" w:rsidR="00EC7BB7" w:rsidRDefault="00EC7BB7" w:rsidP="00DB536C">
      <w:pPr>
        <w:spacing w:after="0" w:line="240" w:lineRule="auto"/>
        <w:jc w:val="center"/>
        <w:rPr>
          <w:rFonts w:ascii="Times New Roman" w:hAnsi="Times New Roman" w:cs="Times New Roman"/>
          <w:b/>
          <w:sz w:val="26"/>
          <w:szCs w:val="26"/>
          <w:lang w:val="es-419"/>
        </w:rPr>
      </w:pPr>
      <w:r w:rsidRPr="00DB536C">
        <w:rPr>
          <w:rFonts w:ascii="Times New Roman" w:hAnsi="Times New Roman" w:cs="Times New Roman"/>
          <w:b/>
          <w:sz w:val="26"/>
          <w:szCs w:val="26"/>
          <w:lang w:val="es-419"/>
        </w:rPr>
        <w:t>AMPARO DIRECTO EN REVISIÓN 9/2021</w:t>
      </w:r>
    </w:p>
    <w:p w14:paraId="08E78CCF" w14:textId="361184DE" w:rsidR="00DB536C" w:rsidRDefault="00DB536C" w:rsidP="00DB536C">
      <w:pPr>
        <w:spacing w:after="0" w:line="240" w:lineRule="auto"/>
        <w:jc w:val="center"/>
        <w:rPr>
          <w:rFonts w:ascii="Times New Roman" w:hAnsi="Times New Roman" w:cs="Times New Roman"/>
          <w:b/>
          <w:sz w:val="26"/>
          <w:szCs w:val="26"/>
          <w:lang w:val="es-419"/>
        </w:rPr>
      </w:pPr>
    </w:p>
    <w:p w14:paraId="531ED5E2" w14:textId="33ECA9AB" w:rsidR="00DB536C" w:rsidRPr="0023400E" w:rsidRDefault="00DB536C" w:rsidP="00DB536C">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Obligación de juzgar con perspectiva de género.</w:t>
      </w:r>
    </w:p>
    <w:p w14:paraId="61001CD6" w14:textId="77777777" w:rsidR="00DB536C" w:rsidRDefault="00DB536C" w:rsidP="00DB536C">
      <w:pPr>
        <w:spacing w:after="0" w:line="240" w:lineRule="auto"/>
        <w:rPr>
          <w:rFonts w:ascii="Times New Roman" w:hAnsi="Times New Roman" w:cs="Times New Roman"/>
          <w:b/>
          <w:bCs/>
          <w:smallCaps/>
          <w:sz w:val="24"/>
          <w:szCs w:val="24"/>
          <w:lang w:val="es-419"/>
        </w:rPr>
      </w:pPr>
    </w:p>
    <w:p w14:paraId="5C5F207F" w14:textId="77777777" w:rsidR="00DB536C" w:rsidRPr="0023400E" w:rsidRDefault="00DB536C" w:rsidP="00DB536C">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486E9169" w14:textId="77777777" w:rsidR="00DB536C" w:rsidRDefault="00DB536C" w:rsidP="00DB536C">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os</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Fernando Sosa Pastrana y Pablo Francisco Muñoz Díaz.</w:t>
      </w:r>
    </w:p>
    <w:p w14:paraId="5922FDCE" w14:textId="1935E675" w:rsidR="00DB536C" w:rsidRDefault="00DB536C" w:rsidP="00DB536C">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DB536C" w:rsidRPr="004B3920" w14:paraId="6E81D035" w14:textId="77777777" w:rsidTr="006F0F5D">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0949B" w14:textId="77777777" w:rsidR="00DB536C" w:rsidRPr="00F440E3" w:rsidRDefault="00DB536C" w:rsidP="006F0F5D">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5961BEF8" w14:textId="77777777" w:rsidR="00DB536C" w:rsidRDefault="00DB536C" w:rsidP="006F0F5D">
            <w:pPr>
              <w:spacing w:after="0" w:line="240" w:lineRule="auto"/>
              <w:jc w:val="both"/>
              <w:rPr>
                <w:rFonts w:ascii="Times New Roman" w:hAnsi="Times New Roman" w:cs="Times New Roman"/>
                <w:sz w:val="20"/>
                <w:szCs w:val="20"/>
                <w:lang w:val="es-419"/>
              </w:rPr>
            </w:pPr>
          </w:p>
          <w:p w14:paraId="3474CFC0" w14:textId="7D2043AA" w:rsidR="00385AB2" w:rsidRDefault="00DB536C" w:rsidP="00385AB2">
            <w:pPr>
              <w:spacing w:after="0" w:line="240" w:lineRule="auto"/>
              <w:jc w:val="both"/>
              <w:rPr>
                <w:rFonts w:ascii="Times New Roman" w:hAnsi="Times New Roman" w:cs="Times New Roman"/>
                <w:sz w:val="20"/>
                <w:szCs w:val="20"/>
                <w:lang w:val="es-419"/>
              </w:rPr>
            </w:pPr>
            <w:r w:rsidRPr="00DB536C">
              <w:rPr>
                <w:rFonts w:ascii="Times New Roman" w:hAnsi="Times New Roman" w:cs="Times New Roman"/>
                <w:sz w:val="20"/>
                <w:szCs w:val="20"/>
                <w:lang w:val="es-419"/>
              </w:rPr>
              <w:t>Una mujer y un hombre se casaron y tuvieron dos hijos. Sin embargo, decidieron terminar su matrimonio</w:t>
            </w:r>
            <w:r w:rsidR="00385AB2">
              <w:rPr>
                <w:rFonts w:ascii="Times New Roman" w:hAnsi="Times New Roman" w:cs="Times New Roman"/>
                <w:sz w:val="20"/>
                <w:szCs w:val="20"/>
                <w:lang w:val="es-419"/>
              </w:rPr>
              <w:t>, p</w:t>
            </w:r>
            <w:r w:rsidRPr="00DB536C">
              <w:rPr>
                <w:rFonts w:ascii="Times New Roman" w:hAnsi="Times New Roman" w:cs="Times New Roman"/>
                <w:sz w:val="20"/>
                <w:szCs w:val="20"/>
                <w:lang w:val="es-419"/>
              </w:rPr>
              <w:t>or lo que celebraron un convenio de divorcio en el que pactaron que el hombre le donaría una casa a su exesposa y a sus dos hijos</w:t>
            </w:r>
            <w:r w:rsidR="00385AB2">
              <w:rPr>
                <w:rFonts w:ascii="Times New Roman" w:hAnsi="Times New Roman" w:cs="Times New Roman"/>
                <w:sz w:val="20"/>
                <w:szCs w:val="20"/>
                <w:lang w:val="es-419"/>
              </w:rPr>
              <w:t xml:space="preserve">, de manera que </w:t>
            </w:r>
            <w:r w:rsidRPr="00DB536C">
              <w:rPr>
                <w:rFonts w:ascii="Times New Roman" w:hAnsi="Times New Roman" w:cs="Times New Roman"/>
                <w:sz w:val="20"/>
                <w:szCs w:val="20"/>
                <w:lang w:val="es-419"/>
              </w:rPr>
              <w:t xml:space="preserve">la nuda propiedad </w:t>
            </w:r>
            <w:r w:rsidR="00385AB2">
              <w:rPr>
                <w:rFonts w:ascii="Times New Roman" w:hAnsi="Times New Roman" w:cs="Times New Roman"/>
                <w:sz w:val="20"/>
                <w:szCs w:val="20"/>
                <w:lang w:val="es-419"/>
              </w:rPr>
              <w:t xml:space="preserve">del inmueble </w:t>
            </w:r>
            <w:r w:rsidRPr="00DB536C">
              <w:rPr>
                <w:rFonts w:ascii="Times New Roman" w:hAnsi="Times New Roman" w:cs="Times New Roman"/>
                <w:sz w:val="20"/>
                <w:szCs w:val="20"/>
                <w:lang w:val="es-419"/>
              </w:rPr>
              <w:t xml:space="preserve">fue donada a sus dos hijos y </w:t>
            </w:r>
            <w:r w:rsidR="00385AB2">
              <w:rPr>
                <w:rFonts w:ascii="Times New Roman" w:hAnsi="Times New Roman" w:cs="Times New Roman"/>
                <w:sz w:val="20"/>
                <w:szCs w:val="20"/>
                <w:lang w:val="es-419"/>
              </w:rPr>
              <w:t xml:space="preserve">se </w:t>
            </w:r>
            <w:r w:rsidRPr="00DB536C">
              <w:rPr>
                <w:rFonts w:ascii="Times New Roman" w:hAnsi="Times New Roman" w:cs="Times New Roman"/>
                <w:sz w:val="20"/>
                <w:szCs w:val="20"/>
                <w:lang w:val="es-419"/>
              </w:rPr>
              <w:t>constituyó un usufructo vitalicio en favor de la mujer.</w:t>
            </w:r>
          </w:p>
          <w:p w14:paraId="0500F58C" w14:textId="77777777" w:rsidR="00385AB2" w:rsidRDefault="00385AB2" w:rsidP="00385AB2">
            <w:pPr>
              <w:spacing w:after="0" w:line="240" w:lineRule="auto"/>
              <w:jc w:val="both"/>
              <w:rPr>
                <w:rFonts w:ascii="Times New Roman" w:hAnsi="Times New Roman" w:cs="Times New Roman"/>
                <w:sz w:val="20"/>
                <w:szCs w:val="20"/>
                <w:lang w:val="es-419"/>
              </w:rPr>
            </w:pPr>
          </w:p>
          <w:p w14:paraId="5980726B" w14:textId="76441AA4" w:rsidR="00DB536C" w:rsidRDefault="00385AB2" w:rsidP="00385AB2">
            <w:pPr>
              <w:spacing w:after="0" w:line="240" w:lineRule="auto"/>
              <w:jc w:val="both"/>
              <w:rPr>
                <w:rFonts w:ascii="Times New Roman" w:hAnsi="Times New Roman" w:cs="Times New Roman"/>
                <w:sz w:val="20"/>
                <w:szCs w:val="20"/>
                <w:lang w:val="es-419"/>
              </w:rPr>
            </w:pPr>
            <w:r>
              <w:rPr>
                <w:rFonts w:ascii="Times New Roman" w:hAnsi="Times New Roman" w:cs="Times New Roman"/>
                <w:sz w:val="20"/>
                <w:szCs w:val="20"/>
                <w:lang w:val="es-419"/>
              </w:rPr>
              <w:t xml:space="preserve">Al analizar el caso, </w:t>
            </w:r>
            <w:r w:rsidR="00DB536C" w:rsidRPr="00DB536C">
              <w:rPr>
                <w:rFonts w:ascii="Times New Roman" w:hAnsi="Times New Roman" w:cs="Times New Roman"/>
                <w:sz w:val="20"/>
                <w:szCs w:val="20"/>
                <w:lang w:val="es-419"/>
              </w:rPr>
              <w:t>la Primera Sala</w:t>
            </w:r>
            <w:r>
              <w:rPr>
                <w:rFonts w:ascii="Times New Roman" w:hAnsi="Times New Roman" w:cs="Times New Roman"/>
                <w:sz w:val="20"/>
                <w:szCs w:val="20"/>
                <w:lang w:val="es-419"/>
              </w:rPr>
              <w:t xml:space="preserve"> advirtió que</w:t>
            </w:r>
            <w:r w:rsidR="00DB536C" w:rsidRPr="00DB536C">
              <w:rPr>
                <w:rFonts w:ascii="Times New Roman" w:hAnsi="Times New Roman" w:cs="Times New Roman"/>
                <w:sz w:val="20"/>
                <w:szCs w:val="20"/>
                <w:lang w:val="es-419"/>
              </w:rPr>
              <w:t xml:space="preserve"> en </w:t>
            </w:r>
            <w:r>
              <w:rPr>
                <w:rFonts w:ascii="Times New Roman" w:hAnsi="Times New Roman" w:cs="Times New Roman"/>
                <w:sz w:val="20"/>
                <w:szCs w:val="20"/>
                <w:lang w:val="es-419"/>
              </w:rPr>
              <w:t>el</w:t>
            </w:r>
            <w:r w:rsidRPr="00DB536C">
              <w:rPr>
                <w:rFonts w:ascii="Times New Roman" w:hAnsi="Times New Roman" w:cs="Times New Roman"/>
                <w:sz w:val="20"/>
                <w:szCs w:val="20"/>
                <w:lang w:val="es-419"/>
              </w:rPr>
              <w:t xml:space="preserve"> </w:t>
            </w:r>
            <w:r w:rsidR="00DB536C" w:rsidRPr="00DB536C">
              <w:rPr>
                <w:rFonts w:ascii="Times New Roman" w:hAnsi="Times New Roman" w:cs="Times New Roman"/>
                <w:sz w:val="20"/>
                <w:szCs w:val="20"/>
                <w:lang w:val="es-419"/>
              </w:rPr>
              <w:t xml:space="preserve">convenio </w:t>
            </w:r>
            <w:r>
              <w:rPr>
                <w:rFonts w:ascii="Times New Roman" w:hAnsi="Times New Roman" w:cs="Times New Roman"/>
                <w:sz w:val="20"/>
                <w:szCs w:val="20"/>
                <w:lang w:val="es-419"/>
              </w:rPr>
              <w:t xml:space="preserve">referido </w:t>
            </w:r>
            <w:r w:rsidR="00DB536C" w:rsidRPr="00DB536C">
              <w:rPr>
                <w:rFonts w:ascii="Times New Roman" w:hAnsi="Times New Roman" w:cs="Times New Roman"/>
                <w:sz w:val="20"/>
                <w:szCs w:val="20"/>
                <w:lang w:val="es-419"/>
              </w:rPr>
              <w:t xml:space="preserve">se pactaron una serie de condiciones resolutorias </w:t>
            </w:r>
            <w:r w:rsidR="00972398">
              <w:rPr>
                <w:rFonts w:ascii="Times New Roman" w:hAnsi="Times New Roman" w:cs="Times New Roman"/>
                <w:sz w:val="20"/>
                <w:szCs w:val="20"/>
                <w:lang w:val="es-419"/>
              </w:rPr>
              <w:t xml:space="preserve">que son </w:t>
            </w:r>
            <w:r w:rsidR="00DB536C" w:rsidRPr="00DB536C">
              <w:rPr>
                <w:rFonts w:ascii="Times New Roman" w:hAnsi="Times New Roman" w:cs="Times New Roman"/>
                <w:sz w:val="20"/>
                <w:szCs w:val="20"/>
                <w:lang w:val="es-419"/>
              </w:rPr>
              <w:t xml:space="preserve">inconstitucionales e </w:t>
            </w:r>
            <w:proofErr w:type="spellStart"/>
            <w:r w:rsidR="00DB536C" w:rsidRPr="00DB536C">
              <w:rPr>
                <w:rFonts w:ascii="Times New Roman" w:hAnsi="Times New Roman" w:cs="Times New Roman"/>
                <w:sz w:val="20"/>
                <w:szCs w:val="20"/>
                <w:lang w:val="es-419"/>
              </w:rPr>
              <w:t>inconvencionales</w:t>
            </w:r>
            <w:proofErr w:type="spellEnd"/>
            <w:r w:rsidR="00DB536C" w:rsidRPr="00DB536C">
              <w:rPr>
                <w:rFonts w:ascii="Times New Roman" w:hAnsi="Times New Roman" w:cs="Times New Roman"/>
                <w:sz w:val="20"/>
                <w:szCs w:val="20"/>
                <w:lang w:val="es-419"/>
              </w:rPr>
              <w:t>.</w:t>
            </w:r>
          </w:p>
          <w:p w14:paraId="3B2ED7DA" w14:textId="77777777" w:rsidR="00DB536C" w:rsidRPr="00DB536C" w:rsidRDefault="00DB536C" w:rsidP="00DB536C">
            <w:pPr>
              <w:spacing w:after="0" w:line="240" w:lineRule="auto"/>
              <w:jc w:val="both"/>
              <w:rPr>
                <w:rFonts w:ascii="Times New Roman" w:hAnsi="Times New Roman" w:cs="Times New Roman"/>
                <w:sz w:val="20"/>
                <w:szCs w:val="20"/>
                <w:lang w:val="es-419"/>
              </w:rPr>
            </w:pPr>
          </w:p>
          <w:p w14:paraId="014927A0" w14:textId="0E74C640" w:rsidR="00DB536C" w:rsidRPr="00F440E3" w:rsidRDefault="00C91B38" w:rsidP="00DB536C">
            <w:pPr>
              <w:spacing w:after="0" w:line="240" w:lineRule="auto"/>
              <w:jc w:val="both"/>
              <w:rPr>
                <w:rFonts w:ascii="Times New Roman" w:hAnsi="Times New Roman" w:cs="Times New Roman"/>
                <w:b/>
                <w:bCs/>
                <w:sz w:val="20"/>
                <w:szCs w:val="20"/>
                <w:lang w:val="es-419"/>
              </w:rPr>
            </w:pPr>
            <w:r>
              <w:rPr>
                <w:rFonts w:ascii="Times New Roman" w:hAnsi="Times New Roman" w:cs="Times New Roman"/>
                <w:sz w:val="20"/>
                <w:szCs w:val="20"/>
                <w:lang w:val="es-419"/>
              </w:rPr>
              <w:t>En este sentido</w:t>
            </w:r>
            <w:r w:rsidR="00385AB2">
              <w:rPr>
                <w:rFonts w:ascii="Times New Roman" w:hAnsi="Times New Roman" w:cs="Times New Roman"/>
                <w:sz w:val="20"/>
                <w:szCs w:val="20"/>
                <w:lang w:val="es-419"/>
              </w:rPr>
              <w:t>, el Alto Tribunal</w:t>
            </w:r>
            <w:r w:rsidR="00DB536C" w:rsidRPr="00DB536C">
              <w:rPr>
                <w:rFonts w:ascii="Times New Roman" w:hAnsi="Times New Roman" w:cs="Times New Roman"/>
                <w:sz w:val="20"/>
                <w:szCs w:val="20"/>
                <w:lang w:val="es-419"/>
              </w:rPr>
              <w:t xml:space="preserve"> concluyó que el principio de la autonomía de la voluntad está limitado por el ejercicio de los derechos humanos que reconoce nuestra Constitución.</w:t>
            </w:r>
          </w:p>
        </w:tc>
      </w:tr>
      <w:bookmarkEnd w:id="0"/>
    </w:tbl>
    <w:p w14:paraId="43D6C81B" w14:textId="0DD45F16" w:rsidR="00DB536C" w:rsidRDefault="00DB536C" w:rsidP="00DB536C">
      <w:pPr>
        <w:spacing w:after="0" w:line="240" w:lineRule="auto"/>
        <w:rPr>
          <w:rFonts w:ascii="Times New Roman" w:hAnsi="Times New Roman" w:cs="Times New Roman"/>
          <w:b/>
          <w:sz w:val="26"/>
          <w:szCs w:val="26"/>
          <w:lang w:val="es-419"/>
        </w:rPr>
      </w:pPr>
    </w:p>
    <w:p w14:paraId="760A7C3F" w14:textId="77777777" w:rsidR="00EC7BB7" w:rsidRPr="00DB536C" w:rsidRDefault="00EC7BB7" w:rsidP="00DB536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DB536C">
        <w:rPr>
          <w:rFonts w:ascii="Times New Roman" w:hAnsi="Times New Roman" w:cs="Times New Roman"/>
          <w:b/>
          <w:bCs/>
          <w:sz w:val="24"/>
          <w:szCs w:val="24"/>
          <w:shd w:val="clear" w:color="auto" w:fill="BDD6EE" w:themeFill="accent1" w:themeFillTint="66"/>
          <w:lang w:val="es-419"/>
        </w:rPr>
        <w:t>Antecedentes del caso:</w:t>
      </w:r>
    </w:p>
    <w:p w14:paraId="2A61FCB2"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0B4D63D8" w14:textId="16CDDEBC" w:rsidR="00EC7BB7" w:rsidRPr="00DB536C" w:rsidRDefault="00EC7BB7"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 xml:space="preserve">Una mujer y un hombre durante su juicio de divorcio </w:t>
      </w:r>
      <w:r w:rsidR="00C167BA" w:rsidRPr="00DB536C">
        <w:rPr>
          <w:rFonts w:ascii="Times New Roman" w:eastAsia="Times New Roman" w:hAnsi="Times New Roman" w:cs="Times New Roman"/>
          <w:color w:val="000000"/>
          <w:sz w:val="24"/>
          <w:szCs w:val="24"/>
          <w:lang w:val="es-MX" w:eastAsia="es-MX"/>
        </w:rPr>
        <w:t>voluntario</w:t>
      </w:r>
      <w:r w:rsidRPr="00DB536C">
        <w:rPr>
          <w:rFonts w:ascii="Times New Roman" w:eastAsia="Times New Roman" w:hAnsi="Times New Roman" w:cs="Times New Roman"/>
          <w:color w:val="000000"/>
          <w:sz w:val="24"/>
          <w:szCs w:val="24"/>
          <w:lang w:val="es-MX" w:eastAsia="es-MX"/>
        </w:rPr>
        <w:t xml:space="preserve"> presentaron un convenio. En este, acordaron que el padre le</w:t>
      </w:r>
      <w:r w:rsidR="00F13155" w:rsidRPr="00DB536C">
        <w:rPr>
          <w:rFonts w:ascii="Times New Roman" w:eastAsia="Times New Roman" w:hAnsi="Times New Roman" w:cs="Times New Roman"/>
          <w:color w:val="000000"/>
          <w:sz w:val="24"/>
          <w:szCs w:val="24"/>
          <w:lang w:val="es-MX" w:eastAsia="es-MX"/>
        </w:rPr>
        <w:t>s</w:t>
      </w:r>
      <w:r w:rsidRPr="00DB536C">
        <w:rPr>
          <w:rFonts w:ascii="Times New Roman" w:eastAsia="Times New Roman" w:hAnsi="Times New Roman" w:cs="Times New Roman"/>
          <w:color w:val="000000"/>
          <w:sz w:val="24"/>
          <w:szCs w:val="24"/>
          <w:lang w:val="es-MX" w:eastAsia="es-MX"/>
        </w:rPr>
        <w:t xml:space="preserve"> donaba a sus dos hijos el uso para habitar personalmente una casa. Por lo tanto, las partes celebraron el respectivo contrato de donación, en el que el hombre transmitió por partes iguales a sus hijos la nuda propiedad del inmueble y reservó el usufructo vitalicio para la madre. Sin embargo, estipuló que </w:t>
      </w:r>
      <w:r w:rsidR="00975212" w:rsidRPr="00DB536C">
        <w:rPr>
          <w:rFonts w:ascii="Times New Roman" w:eastAsia="Times New Roman" w:hAnsi="Times New Roman" w:cs="Times New Roman"/>
          <w:color w:val="000000"/>
          <w:sz w:val="24"/>
          <w:szCs w:val="24"/>
          <w:lang w:val="es-MX" w:eastAsia="es-MX"/>
        </w:rPr>
        <w:t>su</w:t>
      </w:r>
      <w:r w:rsidRPr="00DB536C">
        <w:rPr>
          <w:rFonts w:ascii="Times New Roman" w:eastAsia="Times New Roman" w:hAnsi="Times New Roman" w:cs="Times New Roman"/>
          <w:color w:val="000000"/>
          <w:sz w:val="24"/>
          <w:szCs w:val="24"/>
          <w:lang w:val="es-MX" w:eastAsia="es-MX"/>
        </w:rPr>
        <w:t xml:space="preserve"> exesposa solo podía habitar el domicilio únicamente en compañía de los menores, durante el tiempo que permaneciera soltera y no podría recibir visitas masculinas en</w:t>
      </w:r>
      <w:r w:rsidR="00975212" w:rsidRPr="00DB536C">
        <w:rPr>
          <w:rFonts w:ascii="Times New Roman" w:eastAsia="Times New Roman" w:hAnsi="Times New Roman" w:cs="Times New Roman"/>
          <w:color w:val="000000"/>
          <w:sz w:val="24"/>
          <w:szCs w:val="24"/>
          <w:lang w:val="es-MX" w:eastAsia="es-MX"/>
        </w:rPr>
        <w:t xml:space="preserve"> </w:t>
      </w:r>
      <w:r w:rsidRPr="00DB536C">
        <w:rPr>
          <w:rFonts w:ascii="Times New Roman" w:eastAsia="Times New Roman" w:hAnsi="Times New Roman" w:cs="Times New Roman"/>
          <w:color w:val="000000"/>
          <w:sz w:val="24"/>
          <w:szCs w:val="24"/>
          <w:lang w:val="es-MX" w:eastAsia="es-MX"/>
        </w:rPr>
        <w:t>la casa que no fueran miembros de las familias de las partes. Si ella incumplía con cualquiera de estas cláusulas, el convenio establecía que el contrato de donación se extinguiría.</w:t>
      </w:r>
    </w:p>
    <w:p w14:paraId="746F7DAB"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32FC0FB0" w14:textId="6DECB629" w:rsidR="00EC7BB7" w:rsidRPr="00DB536C" w:rsidRDefault="00EC7BB7"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 xml:space="preserve">Años después del divorcio, el padre se enteró que en la casa no </w:t>
      </w:r>
      <w:r w:rsidR="00975212" w:rsidRPr="00DB536C">
        <w:rPr>
          <w:rFonts w:ascii="Times New Roman" w:eastAsia="Times New Roman" w:hAnsi="Times New Roman" w:cs="Times New Roman"/>
          <w:color w:val="000000"/>
          <w:sz w:val="24"/>
          <w:szCs w:val="24"/>
          <w:lang w:val="es-MX" w:eastAsia="es-MX"/>
        </w:rPr>
        <w:t>habitaban</w:t>
      </w:r>
      <w:r w:rsidRPr="00DB536C">
        <w:rPr>
          <w:rFonts w:ascii="Times New Roman" w:eastAsia="Times New Roman" w:hAnsi="Times New Roman" w:cs="Times New Roman"/>
          <w:color w:val="000000"/>
          <w:sz w:val="24"/>
          <w:szCs w:val="24"/>
          <w:lang w:val="es-MX" w:eastAsia="es-MX"/>
        </w:rPr>
        <w:t xml:space="preserve"> sus hijos, ni su excónyuge. Por lo que promovió juicio ordinario civil en contra de </w:t>
      </w:r>
      <w:r w:rsidR="00975212" w:rsidRPr="00DB536C">
        <w:rPr>
          <w:rFonts w:ascii="Times New Roman" w:eastAsia="Times New Roman" w:hAnsi="Times New Roman" w:cs="Times New Roman"/>
          <w:color w:val="000000"/>
          <w:sz w:val="24"/>
          <w:szCs w:val="24"/>
          <w:lang w:val="es-MX" w:eastAsia="es-MX"/>
        </w:rPr>
        <w:t>su exesposa</w:t>
      </w:r>
      <w:r w:rsidRPr="00DB536C">
        <w:rPr>
          <w:rFonts w:ascii="Times New Roman" w:eastAsia="Times New Roman" w:hAnsi="Times New Roman" w:cs="Times New Roman"/>
          <w:color w:val="000000"/>
          <w:sz w:val="24"/>
          <w:szCs w:val="24"/>
          <w:lang w:val="es-MX" w:eastAsia="es-MX"/>
        </w:rPr>
        <w:t xml:space="preserve"> para revocar la donación. En primera instancia el Juez resolvió que el hombre carecía de legitimación para demandar a su esposa, porque </w:t>
      </w:r>
      <w:r w:rsidR="00C91B38">
        <w:rPr>
          <w:rFonts w:ascii="Times New Roman" w:eastAsia="Times New Roman" w:hAnsi="Times New Roman" w:cs="Times New Roman"/>
          <w:color w:val="000000"/>
          <w:sz w:val="24"/>
          <w:szCs w:val="24"/>
          <w:lang w:val="es-MX" w:eastAsia="es-MX"/>
        </w:rPr>
        <w:t>é</w:t>
      </w:r>
      <w:r w:rsidRPr="00DB536C">
        <w:rPr>
          <w:rFonts w:ascii="Times New Roman" w:eastAsia="Times New Roman" w:hAnsi="Times New Roman" w:cs="Times New Roman"/>
          <w:color w:val="000000"/>
          <w:sz w:val="24"/>
          <w:szCs w:val="24"/>
          <w:lang w:val="es-MX" w:eastAsia="es-MX"/>
        </w:rPr>
        <w:t xml:space="preserve">sta, en representación de sus hijos, la había aportado a un fideicomiso constituido en favor de los menores. Contra tal resolución, el señor </w:t>
      </w:r>
      <w:r w:rsidR="00975212" w:rsidRPr="00DB536C">
        <w:rPr>
          <w:rFonts w:ascii="Times New Roman" w:eastAsia="Times New Roman" w:hAnsi="Times New Roman" w:cs="Times New Roman"/>
          <w:color w:val="000000"/>
          <w:sz w:val="24"/>
          <w:szCs w:val="24"/>
          <w:lang w:val="es-MX" w:eastAsia="es-MX"/>
        </w:rPr>
        <w:t>interpuso recurso de apelación</w:t>
      </w:r>
      <w:r w:rsidR="00C167BA" w:rsidRPr="00DB536C">
        <w:rPr>
          <w:rFonts w:ascii="Times New Roman" w:eastAsia="Times New Roman" w:hAnsi="Times New Roman" w:cs="Times New Roman"/>
          <w:color w:val="000000"/>
          <w:sz w:val="24"/>
          <w:szCs w:val="24"/>
          <w:lang w:val="es-MX" w:eastAsia="es-MX"/>
        </w:rPr>
        <w:t xml:space="preserve"> y </w:t>
      </w:r>
      <w:r w:rsidR="00975212" w:rsidRPr="00DB536C">
        <w:rPr>
          <w:rFonts w:ascii="Times New Roman" w:eastAsia="Times New Roman" w:hAnsi="Times New Roman" w:cs="Times New Roman"/>
          <w:color w:val="000000"/>
          <w:sz w:val="24"/>
          <w:szCs w:val="24"/>
          <w:lang w:val="es-MX" w:eastAsia="es-MX"/>
        </w:rPr>
        <w:t>e</w:t>
      </w:r>
      <w:r w:rsidRPr="00DB536C">
        <w:rPr>
          <w:rFonts w:ascii="Times New Roman" w:eastAsia="Times New Roman" w:hAnsi="Times New Roman" w:cs="Times New Roman"/>
          <w:color w:val="000000"/>
          <w:sz w:val="24"/>
          <w:szCs w:val="24"/>
          <w:lang w:val="es-MX" w:eastAsia="es-MX"/>
        </w:rPr>
        <w:t xml:space="preserve">l Tribunal Superior de Justicia de Nuevo León consideró </w:t>
      </w:r>
      <w:r w:rsidR="008953C2" w:rsidRPr="00DB536C">
        <w:rPr>
          <w:rFonts w:ascii="Times New Roman" w:eastAsia="Times New Roman" w:hAnsi="Times New Roman" w:cs="Times New Roman"/>
          <w:color w:val="000000"/>
          <w:sz w:val="24"/>
          <w:szCs w:val="24"/>
          <w:lang w:val="es-MX" w:eastAsia="es-MX"/>
        </w:rPr>
        <w:t>que</w:t>
      </w:r>
      <w:r w:rsidRPr="00DB536C">
        <w:rPr>
          <w:rFonts w:ascii="Times New Roman" w:eastAsia="Times New Roman" w:hAnsi="Times New Roman" w:cs="Times New Roman"/>
          <w:color w:val="000000"/>
          <w:sz w:val="24"/>
          <w:szCs w:val="24"/>
          <w:lang w:val="es-MX" w:eastAsia="es-MX"/>
        </w:rPr>
        <w:t xml:space="preserve"> s</w:t>
      </w:r>
      <w:r w:rsidR="00C167BA" w:rsidRPr="00DB536C">
        <w:rPr>
          <w:rFonts w:ascii="Times New Roman" w:eastAsia="Times New Roman" w:hAnsi="Times New Roman" w:cs="Times New Roman"/>
          <w:color w:val="000000"/>
          <w:sz w:val="24"/>
          <w:szCs w:val="24"/>
          <w:lang w:val="es-MX" w:eastAsia="es-MX"/>
        </w:rPr>
        <w:t>í</w:t>
      </w:r>
      <w:r w:rsidRPr="00DB536C">
        <w:rPr>
          <w:rFonts w:ascii="Times New Roman" w:eastAsia="Times New Roman" w:hAnsi="Times New Roman" w:cs="Times New Roman"/>
          <w:color w:val="000000"/>
          <w:sz w:val="24"/>
          <w:szCs w:val="24"/>
          <w:lang w:val="es-MX" w:eastAsia="es-MX"/>
        </w:rPr>
        <w:t xml:space="preserve"> contaba con legitimación para exigir la rescisión de la donación</w:t>
      </w:r>
      <w:r w:rsidR="00C91B38">
        <w:rPr>
          <w:rFonts w:ascii="Times New Roman" w:eastAsia="Times New Roman" w:hAnsi="Times New Roman" w:cs="Times New Roman"/>
          <w:color w:val="000000"/>
          <w:sz w:val="24"/>
          <w:szCs w:val="24"/>
          <w:lang w:val="es-MX" w:eastAsia="es-MX"/>
        </w:rPr>
        <w:t xml:space="preserve"> pues</w:t>
      </w:r>
      <w:r w:rsidRPr="00DB536C">
        <w:rPr>
          <w:rFonts w:ascii="Times New Roman" w:eastAsia="Times New Roman" w:hAnsi="Times New Roman" w:cs="Times New Roman"/>
          <w:color w:val="000000"/>
          <w:sz w:val="24"/>
          <w:szCs w:val="24"/>
          <w:lang w:val="es-MX" w:eastAsia="es-MX"/>
        </w:rPr>
        <w:t xml:space="preserve"> de acuerdo con el Código Civil de Nuevo León, las donaciones entre cónyuges se perfeccionan hasta que el donante fallece. </w:t>
      </w:r>
    </w:p>
    <w:p w14:paraId="2EB4095B"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0AF2B1F3" w14:textId="7434F551" w:rsidR="00EC7BB7" w:rsidRPr="00DB536C" w:rsidRDefault="00EC7BB7"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La señora promovió un amparo directo en contra de esta sentencia y le solicitó a la Corte que ejerciera su facultad de atracción</w:t>
      </w:r>
    </w:p>
    <w:p w14:paraId="2D537BF4" w14:textId="77777777" w:rsidR="00DB536C" w:rsidRDefault="00DB536C" w:rsidP="00DB536C">
      <w:pPr>
        <w:spacing w:after="0" w:line="240" w:lineRule="auto"/>
        <w:jc w:val="both"/>
        <w:rPr>
          <w:rFonts w:ascii="Times New Roman" w:eastAsia="Times New Roman" w:hAnsi="Times New Roman" w:cs="Times New Roman"/>
          <w:b/>
          <w:bCs/>
          <w:color w:val="000000"/>
          <w:sz w:val="24"/>
          <w:szCs w:val="24"/>
          <w:lang w:val="es-MX" w:eastAsia="es-MX"/>
        </w:rPr>
      </w:pPr>
    </w:p>
    <w:p w14:paraId="1BA1770B" w14:textId="4BD7B54F" w:rsidR="00EC7BB7" w:rsidRPr="00DB536C" w:rsidRDefault="00EC7BB7" w:rsidP="00DB536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DB536C">
        <w:rPr>
          <w:rFonts w:ascii="Times New Roman" w:hAnsi="Times New Roman" w:cs="Times New Roman"/>
          <w:b/>
          <w:bCs/>
          <w:sz w:val="24"/>
          <w:szCs w:val="24"/>
          <w:shd w:val="clear" w:color="auto" w:fill="BDD6EE" w:themeFill="accent1" w:themeFillTint="66"/>
          <w:lang w:val="es-419"/>
        </w:rPr>
        <w:lastRenderedPageBreak/>
        <w:t>Resolución de la Primera Sala:</w:t>
      </w:r>
    </w:p>
    <w:p w14:paraId="4F5D1307"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1C60AA94" w14:textId="76C71AD3" w:rsidR="00EC7BB7" w:rsidRPr="00DB536C" w:rsidRDefault="008953C2"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La Primera Sala afirmó</w:t>
      </w:r>
      <w:r w:rsidR="00EC7BB7" w:rsidRPr="00DB536C">
        <w:rPr>
          <w:rFonts w:ascii="Times New Roman" w:eastAsia="Times New Roman" w:hAnsi="Times New Roman" w:cs="Times New Roman"/>
          <w:color w:val="000000"/>
          <w:sz w:val="24"/>
          <w:szCs w:val="24"/>
          <w:lang w:val="es-MX" w:eastAsia="es-MX"/>
        </w:rPr>
        <w:t xml:space="preserve"> que lo importante y trascendente del caso, era pronunciarse sobre la jerarquía máxima de la Constitución. Por lo tanto, declaró que, aunque el principio de la autonomía de la voluntad también se encuentra consagrado en el texto constitucional, tanto en el derecho de la propiedad como en el derecho a la libertad de contratación</w:t>
      </w:r>
      <w:r w:rsidR="00C167BA" w:rsidRPr="00DB536C">
        <w:rPr>
          <w:rFonts w:ascii="Times New Roman" w:eastAsia="Times New Roman" w:hAnsi="Times New Roman" w:cs="Times New Roman"/>
          <w:color w:val="000000"/>
          <w:sz w:val="24"/>
          <w:szCs w:val="24"/>
          <w:lang w:val="es-MX" w:eastAsia="es-MX"/>
        </w:rPr>
        <w:t>;</w:t>
      </w:r>
      <w:r w:rsidR="00EC7BB7" w:rsidRPr="00DB536C">
        <w:rPr>
          <w:rFonts w:ascii="Times New Roman" w:eastAsia="Times New Roman" w:hAnsi="Times New Roman" w:cs="Times New Roman"/>
          <w:color w:val="000000"/>
          <w:sz w:val="24"/>
          <w:szCs w:val="24"/>
          <w:lang w:val="es-MX" w:eastAsia="es-MX"/>
        </w:rPr>
        <w:t xml:space="preserve"> lo cierto es que</w:t>
      </w:r>
      <w:r w:rsidR="00C167BA" w:rsidRPr="00DB536C">
        <w:rPr>
          <w:rFonts w:ascii="Times New Roman" w:eastAsia="Times New Roman" w:hAnsi="Times New Roman" w:cs="Times New Roman"/>
          <w:color w:val="000000"/>
          <w:sz w:val="24"/>
          <w:szCs w:val="24"/>
          <w:lang w:val="es-MX" w:eastAsia="es-MX"/>
        </w:rPr>
        <w:t>,</w:t>
      </w:r>
      <w:r w:rsidR="00EC7BB7" w:rsidRPr="00DB536C">
        <w:rPr>
          <w:rFonts w:ascii="Times New Roman" w:eastAsia="Times New Roman" w:hAnsi="Times New Roman" w:cs="Times New Roman"/>
          <w:color w:val="000000"/>
          <w:sz w:val="24"/>
          <w:szCs w:val="24"/>
          <w:lang w:val="es-MX" w:eastAsia="es-MX"/>
        </w:rPr>
        <w:t xml:space="preserve"> al igual que todos los derechos</w:t>
      </w:r>
      <w:r w:rsidR="00C167BA" w:rsidRPr="00DB536C">
        <w:rPr>
          <w:rFonts w:ascii="Times New Roman" w:eastAsia="Times New Roman" w:hAnsi="Times New Roman" w:cs="Times New Roman"/>
          <w:color w:val="000000"/>
          <w:sz w:val="24"/>
          <w:szCs w:val="24"/>
          <w:lang w:val="es-MX" w:eastAsia="es-MX"/>
        </w:rPr>
        <w:t>,</w:t>
      </w:r>
      <w:r w:rsidR="00EC7BB7" w:rsidRPr="00DB536C">
        <w:rPr>
          <w:rFonts w:ascii="Times New Roman" w:eastAsia="Times New Roman" w:hAnsi="Times New Roman" w:cs="Times New Roman"/>
          <w:color w:val="000000"/>
          <w:sz w:val="24"/>
          <w:szCs w:val="24"/>
          <w:lang w:val="es-MX" w:eastAsia="es-MX"/>
        </w:rPr>
        <w:t xml:space="preserve"> no es absoluto. Está limitado por el ejercicio del resto de los derechos humanos reconocidos en la Constitución </w:t>
      </w:r>
      <w:r w:rsidR="00975212" w:rsidRPr="00DB536C">
        <w:rPr>
          <w:rFonts w:ascii="Times New Roman" w:eastAsia="Times New Roman" w:hAnsi="Times New Roman" w:cs="Times New Roman"/>
          <w:color w:val="000000"/>
          <w:sz w:val="24"/>
          <w:szCs w:val="24"/>
          <w:lang w:val="es-MX" w:eastAsia="es-MX"/>
        </w:rPr>
        <w:t>General</w:t>
      </w:r>
      <w:r w:rsidR="00EC7BB7" w:rsidRPr="00DB536C">
        <w:rPr>
          <w:rFonts w:ascii="Times New Roman" w:eastAsia="Times New Roman" w:hAnsi="Times New Roman" w:cs="Times New Roman"/>
          <w:color w:val="000000"/>
          <w:sz w:val="24"/>
          <w:szCs w:val="24"/>
          <w:lang w:val="es-MX" w:eastAsia="es-MX"/>
        </w:rPr>
        <w:t>.</w:t>
      </w:r>
    </w:p>
    <w:p w14:paraId="33B776A7"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437CB17A" w14:textId="23152F55" w:rsidR="00EC7BB7" w:rsidRPr="00DB536C" w:rsidRDefault="00EC7BB7"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 xml:space="preserve">En el mismo orden de ideas, </w:t>
      </w:r>
      <w:r w:rsidR="00966F7E" w:rsidRPr="00DB536C">
        <w:rPr>
          <w:rFonts w:ascii="Times New Roman" w:eastAsia="Times New Roman" w:hAnsi="Times New Roman" w:cs="Times New Roman"/>
          <w:color w:val="000000"/>
          <w:sz w:val="24"/>
          <w:szCs w:val="24"/>
          <w:lang w:val="es-MX" w:eastAsia="es-MX"/>
        </w:rPr>
        <w:t>la</w:t>
      </w:r>
      <w:r w:rsidR="00975212" w:rsidRPr="00DB536C">
        <w:rPr>
          <w:rFonts w:ascii="Times New Roman" w:eastAsia="Times New Roman" w:hAnsi="Times New Roman" w:cs="Times New Roman"/>
          <w:color w:val="000000"/>
          <w:sz w:val="24"/>
          <w:szCs w:val="24"/>
          <w:lang w:val="es-MX" w:eastAsia="es-MX"/>
        </w:rPr>
        <w:t xml:space="preserve"> </w:t>
      </w:r>
      <w:r w:rsidRPr="00DB536C">
        <w:rPr>
          <w:rFonts w:ascii="Times New Roman" w:eastAsia="Times New Roman" w:hAnsi="Times New Roman" w:cs="Times New Roman"/>
          <w:color w:val="000000"/>
          <w:sz w:val="24"/>
          <w:szCs w:val="24"/>
          <w:lang w:val="es-MX" w:eastAsia="es-MX"/>
        </w:rPr>
        <w:t xml:space="preserve">Sala </w:t>
      </w:r>
      <w:r w:rsidR="00975212" w:rsidRPr="00DB536C">
        <w:rPr>
          <w:rFonts w:ascii="Times New Roman" w:eastAsia="Times New Roman" w:hAnsi="Times New Roman" w:cs="Times New Roman"/>
          <w:color w:val="000000"/>
          <w:sz w:val="24"/>
          <w:szCs w:val="24"/>
          <w:lang w:val="es-MX" w:eastAsia="es-MX"/>
        </w:rPr>
        <w:t>consideró</w:t>
      </w:r>
      <w:r w:rsidRPr="00DB536C">
        <w:rPr>
          <w:rFonts w:ascii="Times New Roman" w:eastAsia="Times New Roman" w:hAnsi="Times New Roman" w:cs="Times New Roman"/>
          <w:color w:val="000000"/>
          <w:sz w:val="24"/>
          <w:szCs w:val="24"/>
          <w:lang w:val="es-MX" w:eastAsia="es-MX"/>
        </w:rPr>
        <w:t xml:space="preserve"> que la parte quejosa, en su condición de mujer, merece un régimen de protección específico para el ejercicio de sus derechos</w:t>
      </w:r>
      <w:r w:rsidR="00C167BA" w:rsidRPr="00DB536C">
        <w:rPr>
          <w:rFonts w:ascii="Times New Roman" w:eastAsia="Times New Roman" w:hAnsi="Times New Roman" w:cs="Times New Roman"/>
          <w:color w:val="000000"/>
          <w:sz w:val="24"/>
          <w:szCs w:val="24"/>
          <w:lang w:val="es-MX" w:eastAsia="es-MX"/>
        </w:rPr>
        <w:t>. E</w:t>
      </w:r>
      <w:r w:rsidRPr="00DB536C">
        <w:rPr>
          <w:rFonts w:ascii="Times New Roman" w:eastAsia="Times New Roman" w:hAnsi="Times New Roman" w:cs="Times New Roman"/>
          <w:color w:val="000000"/>
          <w:sz w:val="24"/>
          <w:szCs w:val="24"/>
          <w:lang w:val="es-MX" w:eastAsia="es-MX"/>
        </w:rPr>
        <w:t>n particular, su intimidad, libre autodeterminación y libre desarrollo de la personalidad. Por lo tanto, determinó que las condiciones resolutorias del contrato de donación no iban de acuerdo con el marco constitucional y convencional vigente</w:t>
      </w:r>
      <w:r w:rsidR="00C91B38">
        <w:rPr>
          <w:rFonts w:ascii="Times New Roman" w:eastAsia="Times New Roman" w:hAnsi="Times New Roman" w:cs="Times New Roman"/>
          <w:color w:val="000000"/>
          <w:sz w:val="24"/>
          <w:szCs w:val="24"/>
          <w:lang w:val="es-MX" w:eastAsia="es-MX"/>
        </w:rPr>
        <w:t xml:space="preserve"> puesto que</w:t>
      </w:r>
      <w:r w:rsidRPr="00DB536C">
        <w:rPr>
          <w:rFonts w:ascii="Times New Roman" w:eastAsia="Times New Roman" w:hAnsi="Times New Roman" w:cs="Times New Roman"/>
          <w:color w:val="000000"/>
          <w:sz w:val="24"/>
          <w:szCs w:val="24"/>
          <w:lang w:val="es-MX" w:eastAsia="es-MX"/>
        </w:rPr>
        <w:t xml:space="preserve"> colocaban a la mujer en una posición de desventaja o subordinación en relación con el hombre. </w:t>
      </w:r>
    </w:p>
    <w:p w14:paraId="2E2F9431" w14:textId="77777777" w:rsidR="00DB536C" w:rsidRDefault="00DB536C" w:rsidP="00DB536C">
      <w:pPr>
        <w:spacing w:after="0" w:line="240" w:lineRule="auto"/>
        <w:ind w:right="60"/>
        <w:jc w:val="both"/>
        <w:rPr>
          <w:rFonts w:ascii="Times New Roman" w:eastAsia="Times New Roman" w:hAnsi="Times New Roman" w:cs="Times New Roman"/>
          <w:color w:val="000000"/>
          <w:sz w:val="24"/>
          <w:szCs w:val="24"/>
          <w:lang w:val="es-MX" w:eastAsia="es-MX"/>
        </w:rPr>
      </w:pPr>
    </w:p>
    <w:p w14:paraId="21B17AA0" w14:textId="7EC592B6" w:rsidR="00EC7BB7" w:rsidRPr="00DB536C" w:rsidRDefault="00EC7BB7" w:rsidP="00DB536C">
      <w:pPr>
        <w:spacing w:after="0" w:line="240" w:lineRule="auto"/>
        <w:ind w:right="60"/>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 xml:space="preserve">Fue así, como la Primera Sala </w:t>
      </w:r>
      <w:r w:rsidR="008953C2" w:rsidRPr="00DB536C">
        <w:rPr>
          <w:rFonts w:ascii="Times New Roman" w:eastAsia="Times New Roman" w:hAnsi="Times New Roman" w:cs="Times New Roman"/>
          <w:color w:val="000000"/>
          <w:sz w:val="24"/>
          <w:szCs w:val="24"/>
          <w:lang w:val="es-MX" w:eastAsia="es-MX"/>
        </w:rPr>
        <w:t>estipuló</w:t>
      </w:r>
      <w:r w:rsidRPr="00DB536C">
        <w:rPr>
          <w:rFonts w:ascii="Times New Roman" w:eastAsia="Times New Roman" w:hAnsi="Times New Roman" w:cs="Times New Roman"/>
          <w:color w:val="000000"/>
          <w:sz w:val="24"/>
          <w:szCs w:val="24"/>
          <w:lang w:val="es-MX" w:eastAsia="es-MX"/>
        </w:rPr>
        <w:t xml:space="preserve"> que existen “relaciones de poder intergenéricas” en las que se establecen relaciones asimétricas entre mujeres y hombres, en las </w:t>
      </w:r>
      <w:r w:rsidR="001A4CC5">
        <w:rPr>
          <w:rFonts w:ascii="Times New Roman" w:eastAsia="Times New Roman" w:hAnsi="Times New Roman" w:cs="Times New Roman"/>
          <w:color w:val="000000"/>
          <w:sz w:val="24"/>
          <w:szCs w:val="24"/>
          <w:lang w:val="es-MX" w:eastAsia="es-MX"/>
        </w:rPr>
        <w:t>cuales</w:t>
      </w:r>
      <w:r w:rsidR="001A4CC5" w:rsidRPr="00DB536C">
        <w:rPr>
          <w:rFonts w:ascii="Times New Roman" w:eastAsia="Times New Roman" w:hAnsi="Times New Roman" w:cs="Times New Roman"/>
          <w:color w:val="000000"/>
          <w:sz w:val="24"/>
          <w:szCs w:val="24"/>
          <w:lang w:val="es-MX" w:eastAsia="es-MX"/>
        </w:rPr>
        <w:t xml:space="preserve"> </w:t>
      </w:r>
      <w:r w:rsidRPr="00DB536C">
        <w:rPr>
          <w:rFonts w:ascii="Times New Roman" w:eastAsia="Times New Roman" w:hAnsi="Times New Roman" w:cs="Times New Roman"/>
          <w:color w:val="000000"/>
          <w:sz w:val="24"/>
          <w:szCs w:val="24"/>
          <w:lang w:val="es-MX" w:eastAsia="es-MX"/>
        </w:rPr>
        <w:t>el género masculino</w:t>
      </w:r>
      <w:r w:rsidR="008953C2" w:rsidRPr="00DB536C">
        <w:rPr>
          <w:rFonts w:ascii="Times New Roman" w:eastAsia="Times New Roman" w:hAnsi="Times New Roman" w:cs="Times New Roman"/>
          <w:color w:val="000000"/>
          <w:sz w:val="24"/>
          <w:szCs w:val="24"/>
          <w:lang w:val="es-MX" w:eastAsia="es-MX"/>
        </w:rPr>
        <w:t xml:space="preserve"> asegura el monopolio del poder.</w:t>
      </w:r>
      <w:r w:rsidRPr="00DB536C">
        <w:rPr>
          <w:rFonts w:ascii="Times New Roman" w:eastAsia="Times New Roman" w:hAnsi="Times New Roman" w:cs="Times New Roman"/>
          <w:color w:val="000000"/>
          <w:sz w:val="24"/>
          <w:szCs w:val="24"/>
          <w:lang w:val="es-MX" w:eastAsia="es-MX"/>
        </w:rPr>
        <w:t xml:space="preserve"> En este caso, durante la celebración del convenio de divorcio, el padre ejerció su poder como “hombre”, valiéndose de su capacidad (estructural) de otorgar o negar bienes, estatus o valor a la madre, esperando que esta última cumpliera con una serie de normas y órdenes (las condiciones resolutorias sobre el derecho de usufructo constituido) cuya formulación sólo a él beneficiaban, e iban encauzadas a perpetuar su posición de dominio sobre la vida de su exesposa.</w:t>
      </w:r>
    </w:p>
    <w:p w14:paraId="40BC621D"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30BA15C8" w14:textId="0179EE0A" w:rsidR="00EC7BB7" w:rsidRPr="00DB536C" w:rsidRDefault="008953C2"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Por lo tanto,</w:t>
      </w:r>
      <w:r w:rsidR="00DB536C">
        <w:rPr>
          <w:rFonts w:ascii="Times New Roman" w:eastAsia="Times New Roman" w:hAnsi="Times New Roman" w:cs="Times New Roman"/>
          <w:color w:val="000000"/>
          <w:sz w:val="24"/>
          <w:szCs w:val="24"/>
          <w:lang w:val="es-MX" w:eastAsia="es-MX"/>
        </w:rPr>
        <w:t xml:space="preserve"> </w:t>
      </w:r>
      <w:r w:rsidR="00EC7BB7" w:rsidRPr="00DB536C">
        <w:rPr>
          <w:rFonts w:ascii="Times New Roman" w:eastAsia="Times New Roman" w:hAnsi="Times New Roman" w:cs="Times New Roman"/>
          <w:color w:val="000000"/>
          <w:sz w:val="24"/>
          <w:szCs w:val="24"/>
          <w:lang w:val="es-MX" w:eastAsia="es-MX"/>
        </w:rPr>
        <w:t>la Primera Sala concluyó que la estipulación de esas condiciones resolutorias violentaba el derecho a la intimidad, dignidad, libertad, a vivir una vida libre de violencia y el libre desarrollo de la personalidad de la quejosa</w:t>
      </w:r>
      <w:r w:rsidR="00EC7BB7" w:rsidRPr="00DB536C">
        <w:rPr>
          <w:rFonts w:ascii="Times New Roman" w:eastAsia="Times New Roman" w:hAnsi="Times New Roman" w:cs="Times New Roman"/>
          <w:b/>
          <w:bCs/>
          <w:color w:val="000000"/>
          <w:sz w:val="24"/>
          <w:szCs w:val="24"/>
          <w:lang w:val="es-MX" w:eastAsia="es-MX"/>
        </w:rPr>
        <w:t xml:space="preserve">. </w:t>
      </w:r>
      <w:r w:rsidR="00EC7BB7" w:rsidRPr="00DB536C">
        <w:rPr>
          <w:rFonts w:ascii="Times New Roman" w:eastAsia="Times New Roman" w:hAnsi="Times New Roman" w:cs="Times New Roman"/>
          <w:color w:val="000000"/>
          <w:sz w:val="24"/>
          <w:szCs w:val="24"/>
          <w:lang w:val="es-MX" w:eastAsia="es-MX"/>
        </w:rPr>
        <w:t>Finalmente, la Primera Sala declaró que lo procedente era conceder el amparo a la mujer para el efecto de que la autoridad responsable no aplicará</w:t>
      </w:r>
      <w:r w:rsidR="00EC7BB7" w:rsidRPr="00DB536C">
        <w:rPr>
          <w:rFonts w:ascii="Times New Roman" w:eastAsia="Times New Roman" w:hAnsi="Times New Roman" w:cs="Times New Roman"/>
          <w:b/>
          <w:bCs/>
          <w:color w:val="000000"/>
          <w:sz w:val="24"/>
          <w:szCs w:val="24"/>
          <w:lang w:val="es-MX" w:eastAsia="es-MX"/>
        </w:rPr>
        <w:t xml:space="preserve"> </w:t>
      </w:r>
      <w:r w:rsidR="00EC7BB7" w:rsidRPr="00DB536C">
        <w:rPr>
          <w:rFonts w:ascii="Times New Roman" w:eastAsia="Times New Roman" w:hAnsi="Times New Roman" w:cs="Times New Roman"/>
          <w:color w:val="000000"/>
          <w:sz w:val="24"/>
          <w:szCs w:val="24"/>
          <w:lang w:val="es-MX" w:eastAsia="es-MX"/>
        </w:rPr>
        <w:t>las condiciones resolutorias anteriormente mencionadas.</w:t>
      </w:r>
    </w:p>
    <w:p w14:paraId="4740CB3F" w14:textId="77777777" w:rsidR="00DB536C" w:rsidRDefault="00DB536C" w:rsidP="00DB536C">
      <w:pPr>
        <w:spacing w:after="0" w:line="240" w:lineRule="auto"/>
        <w:jc w:val="both"/>
        <w:rPr>
          <w:rFonts w:ascii="Times New Roman" w:eastAsia="Times New Roman" w:hAnsi="Times New Roman" w:cs="Times New Roman"/>
          <w:b/>
          <w:bCs/>
          <w:color w:val="000000"/>
          <w:sz w:val="24"/>
          <w:szCs w:val="24"/>
          <w:lang w:val="es-MX" w:eastAsia="es-MX"/>
        </w:rPr>
      </w:pPr>
    </w:p>
    <w:p w14:paraId="6DE26256" w14:textId="1BC20469" w:rsidR="00EC7BB7" w:rsidRPr="00DB536C" w:rsidRDefault="00EC7BB7" w:rsidP="00DB536C">
      <w:pPr>
        <w:spacing w:after="0" w:line="240" w:lineRule="auto"/>
        <w:jc w:val="both"/>
        <w:rPr>
          <w:rFonts w:ascii="Times New Roman" w:hAnsi="Times New Roman" w:cs="Times New Roman"/>
          <w:b/>
          <w:bCs/>
          <w:sz w:val="24"/>
          <w:szCs w:val="24"/>
          <w:shd w:val="clear" w:color="auto" w:fill="BDD6EE" w:themeFill="accent1" w:themeFillTint="66"/>
          <w:lang w:val="es-419"/>
        </w:rPr>
      </w:pPr>
      <w:r w:rsidRPr="00DB536C">
        <w:rPr>
          <w:rFonts w:ascii="Times New Roman" w:hAnsi="Times New Roman" w:cs="Times New Roman"/>
          <w:b/>
          <w:bCs/>
          <w:sz w:val="24"/>
          <w:szCs w:val="24"/>
          <w:shd w:val="clear" w:color="auto" w:fill="BDD6EE" w:themeFill="accent1" w:themeFillTint="66"/>
          <w:lang w:val="es-419"/>
        </w:rPr>
        <w:t>Votación:</w:t>
      </w:r>
    </w:p>
    <w:p w14:paraId="309B23AD" w14:textId="77777777"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p w14:paraId="5E6AE5D1" w14:textId="696F6066" w:rsidR="00EC7BB7" w:rsidRDefault="00EC7BB7" w:rsidP="00DB536C">
      <w:pPr>
        <w:spacing w:after="0" w:line="240" w:lineRule="auto"/>
        <w:jc w:val="both"/>
        <w:rPr>
          <w:rFonts w:ascii="Times New Roman" w:eastAsia="Times New Roman" w:hAnsi="Times New Roman" w:cs="Times New Roman"/>
          <w:color w:val="000000"/>
          <w:sz w:val="24"/>
          <w:szCs w:val="24"/>
          <w:lang w:val="es-MX" w:eastAsia="es-MX"/>
        </w:rPr>
      </w:pPr>
      <w:r w:rsidRPr="00DB536C">
        <w:rPr>
          <w:rFonts w:ascii="Times New Roman" w:eastAsia="Times New Roman" w:hAnsi="Times New Roman" w:cs="Times New Roman"/>
          <w:color w:val="000000"/>
          <w:sz w:val="24"/>
          <w:szCs w:val="24"/>
          <w:lang w:val="es-MX" w:eastAsia="es-MX"/>
        </w:rPr>
        <w:t xml:space="preserve">El asunto fue aprobado </w:t>
      </w:r>
      <w:r w:rsidR="00DB536C">
        <w:rPr>
          <w:rFonts w:ascii="Times New Roman" w:eastAsia="Times New Roman" w:hAnsi="Times New Roman" w:cs="Times New Roman"/>
          <w:color w:val="000000"/>
          <w:sz w:val="24"/>
          <w:szCs w:val="24"/>
          <w:lang w:val="es-MX" w:eastAsia="es-MX"/>
        </w:rPr>
        <w:t>en sesión de la Primera Sala de</w:t>
      </w:r>
      <w:r w:rsidR="00385AB2">
        <w:rPr>
          <w:rFonts w:ascii="Times New Roman" w:eastAsia="Times New Roman" w:hAnsi="Times New Roman" w:cs="Times New Roman"/>
          <w:color w:val="000000"/>
          <w:sz w:val="24"/>
          <w:szCs w:val="24"/>
          <w:lang w:val="es-MX" w:eastAsia="es-MX"/>
        </w:rPr>
        <w:t>l 29 de septiembre de 2021,</w:t>
      </w:r>
      <w:r w:rsidR="00DB536C">
        <w:rPr>
          <w:rFonts w:ascii="Times New Roman" w:eastAsia="Times New Roman" w:hAnsi="Times New Roman" w:cs="Times New Roman"/>
          <w:color w:val="000000"/>
          <w:sz w:val="24"/>
          <w:szCs w:val="24"/>
          <w:lang w:val="es-MX" w:eastAsia="es-MX"/>
        </w:rPr>
        <w:t xml:space="preserve"> </w:t>
      </w:r>
      <w:r w:rsidRPr="00DB536C">
        <w:rPr>
          <w:rFonts w:ascii="Times New Roman" w:eastAsia="Times New Roman" w:hAnsi="Times New Roman" w:cs="Times New Roman"/>
          <w:color w:val="000000"/>
          <w:sz w:val="24"/>
          <w:szCs w:val="24"/>
          <w:lang w:val="es-MX" w:eastAsia="es-MX"/>
        </w:rPr>
        <w:t xml:space="preserve">por unanimidad de cinco votos de la Señora </w:t>
      </w:r>
      <w:proofErr w:type="gramStart"/>
      <w:r w:rsidRPr="00DB536C">
        <w:rPr>
          <w:rFonts w:ascii="Times New Roman" w:eastAsia="Times New Roman" w:hAnsi="Times New Roman" w:cs="Times New Roman"/>
          <w:color w:val="000000"/>
          <w:sz w:val="24"/>
          <w:szCs w:val="24"/>
          <w:lang w:val="es-MX" w:eastAsia="es-MX"/>
        </w:rPr>
        <w:t>Ministra</w:t>
      </w:r>
      <w:proofErr w:type="gramEnd"/>
      <w:r w:rsidRPr="00DB536C">
        <w:rPr>
          <w:rFonts w:ascii="Times New Roman" w:eastAsia="Times New Roman" w:hAnsi="Times New Roman" w:cs="Times New Roman"/>
          <w:color w:val="000000"/>
          <w:sz w:val="24"/>
          <w:szCs w:val="24"/>
          <w:lang w:val="es-MX" w:eastAsia="es-MX"/>
        </w:rPr>
        <w:t xml:space="preserve"> Norma Lucía Piña Hernández y de los Señores Ministros Juan Luis González Alcántara Carrancá (Ponente), quien se reservó el derecho de formular voto concurrente, Jorge Mario Pardo Rebolledo y Alfredo Gutiérrez Ortiz Mena y la Ministra Presidenta Ana Margarita Ríos Farjat.</w:t>
      </w:r>
    </w:p>
    <w:p w14:paraId="332670DA" w14:textId="64C418DC" w:rsid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tbl>
      <w:tblPr>
        <w:tblStyle w:val="Tablaconcuadrcula"/>
        <w:tblW w:w="0" w:type="auto"/>
        <w:tblLook w:val="04A0" w:firstRow="1" w:lastRow="0" w:firstColumn="1" w:lastColumn="0" w:noHBand="0" w:noVBand="1"/>
      </w:tblPr>
      <w:tblGrid>
        <w:gridCol w:w="8808"/>
      </w:tblGrid>
      <w:tr w:rsidR="00DB536C" w:rsidRPr="0023400E" w14:paraId="787F72A3" w14:textId="77777777" w:rsidTr="006F0F5D">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5CA7F335" w14:textId="77777777" w:rsidR="00DB536C" w:rsidRPr="0023400E" w:rsidRDefault="00DB536C" w:rsidP="006F0F5D">
            <w:pPr>
              <w:jc w:val="both"/>
              <w:rPr>
                <w:rFonts w:ascii="Times New Roman" w:hAnsi="Times New Roman" w:cs="Times New Roman"/>
                <w:sz w:val="20"/>
                <w:szCs w:val="20"/>
                <w:lang w:val="es-419"/>
              </w:rPr>
            </w:pPr>
            <w:bookmarkStart w:id="1" w:name="_Hlk92736347"/>
          </w:p>
          <w:p w14:paraId="322A2F9E" w14:textId="77777777" w:rsidR="00DB536C" w:rsidRDefault="00DB536C" w:rsidP="006F0F5D">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17718170" w14:textId="77777777" w:rsidR="00DB536C" w:rsidRPr="0023400E" w:rsidRDefault="00DB536C" w:rsidP="006F0F5D">
            <w:pPr>
              <w:jc w:val="both"/>
              <w:rPr>
                <w:rFonts w:ascii="Times New Roman" w:hAnsi="Times New Roman" w:cs="Times New Roman"/>
                <w:sz w:val="20"/>
                <w:szCs w:val="20"/>
                <w:lang w:val="es-419"/>
              </w:rPr>
            </w:pPr>
          </w:p>
        </w:tc>
      </w:tr>
      <w:bookmarkEnd w:id="1"/>
    </w:tbl>
    <w:p w14:paraId="51FA9C91" w14:textId="77777777" w:rsidR="00DB536C" w:rsidRPr="00DB536C" w:rsidRDefault="00DB536C" w:rsidP="00DB536C">
      <w:pPr>
        <w:spacing w:after="0" w:line="240" w:lineRule="auto"/>
        <w:jc w:val="both"/>
        <w:rPr>
          <w:rFonts w:ascii="Times New Roman" w:eastAsia="Times New Roman" w:hAnsi="Times New Roman" w:cs="Times New Roman"/>
          <w:color w:val="000000"/>
          <w:sz w:val="24"/>
          <w:szCs w:val="24"/>
          <w:lang w:val="es-MX" w:eastAsia="es-MX"/>
        </w:rPr>
      </w:pPr>
    </w:p>
    <w:sectPr w:rsidR="00DB536C" w:rsidRPr="00DB536C">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BCEE" w14:textId="77777777" w:rsidR="00645041" w:rsidRDefault="00645041" w:rsidP="00DB536C">
      <w:pPr>
        <w:spacing w:after="0" w:line="240" w:lineRule="auto"/>
      </w:pPr>
      <w:r>
        <w:separator/>
      </w:r>
    </w:p>
  </w:endnote>
  <w:endnote w:type="continuationSeparator" w:id="0">
    <w:p w14:paraId="5B8BD4D3" w14:textId="77777777" w:rsidR="00645041" w:rsidRDefault="00645041" w:rsidP="00DB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10438"/>
      <w:docPartObj>
        <w:docPartGallery w:val="Page Numbers (Bottom of Page)"/>
        <w:docPartUnique/>
      </w:docPartObj>
    </w:sdtPr>
    <w:sdtEndPr>
      <w:rPr>
        <w:rFonts w:ascii="Times New Roman" w:hAnsi="Times New Roman" w:cs="Times New Roman"/>
      </w:rPr>
    </w:sdtEndPr>
    <w:sdtContent>
      <w:p w14:paraId="60FF7318" w14:textId="6E3AF7B9" w:rsidR="00DB536C" w:rsidRPr="00DB536C" w:rsidRDefault="00DB536C">
        <w:pPr>
          <w:pStyle w:val="Piedepgina"/>
          <w:jc w:val="center"/>
          <w:rPr>
            <w:rFonts w:ascii="Times New Roman" w:hAnsi="Times New Roman" w:cs="Times New Roman"/>
          </w:rPr>
        </w:pPr>
        <w:r w:rsidRPr="00DB536C">
          <w:rPr>
            <w:rFonts w:ascii="Times New Roman" w:hAnsi="Times New Roman" w:cs="Times New Roman"/>
          </w:rPr>
          <w:fldChar w:fldCharType="begin"/>
        </w:r>
        <w:r w:rsidRPr="00DB536C">
          <w:rPr>
            <w:rFonts w:ascii="Times New Roman" w:hAnsi="Times New Roman" w:cs="Times New Roman"/>
          </w:rPr>
          <w:instrText>PAGE   \* MERGEFORMAT</w:instrText>
        </w:r>
        <w:r w:rsidRPr="00DB536C">
          <w:rPr>
            <w:rFonts w:ascii="Times New Roman" w:hAnsi="Times New Roman" w:cs="Times New Roman"/>
          </w:rPr>
          <w:fldChar w:fldCharType="separate"/>
        </w:r>
        <w:r w:rsidRPr="00DB536C">
          <w:rPr>
            <w:rFonts w:ascii="Times New Roman" w:hAnsi="Times New Roman" w:cs="Times New Roman"/>
            <w:lang w:val="es-ES"/>
          </w:rPr>
          <w:t>2</w:t>
        </w:r>
        <w:r w:rsidRPr="00DB536C">
          <w:rPr>
            <w:rFonts w:ascii="Times New Roman" w:hAnsi="Times New Roman" w:cs="Times New Roman"/>
          </w:rPr>
          <w:fldChar w:fldCharType="end"/>
        </w:r>
      </w:p>
    </w:sdtContent>
  </w:sdt>
  <w:p w14:paraId="243D4374" w14:textId="77777777" w:rsidR="00DB536C" w:rsidRDefault="00DB53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815F" w14:textId="77777777" w:rsidR="00645041" w:rsidRDefault="00645041" w:rsidP="00DB536C">
      <w:pPr>
        <w:spacing w:after="0" w:line="240" w:lineRule="auto"/>
      </w:pPr>
      <w:r>
        <w:separator/>
      </w:r>
    </w:p>
  </w:footnote>
  <w:footnote w:type="continuationSeparator" w:id="0">
    <w:p w14:paraId="046E096B" w14:textId="77777777" w:rsidR="00645041" w:rsidRDefault="00645041" w:rsidP="00DB5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B7"/>
    <w:rsid w:val="001A4CC5"/>
    <w:rsid w:val="003202F4"/>
    <w:rsid w:val="00385AB2"/>
    <w:rsid w:val="00645041"/>
    <w:rsid w:val="008953C2"/>
    <w:rsid w:val="008C7830"/>
    <w:rsid w:val="00966F7E"/>
    <w:rsid w:val="00972398"/>
    <w:rsid w:val="00975212"/>
    <w:rsid w:val="00AD1831"/>
    <w:rsid w:val="00C167BA"/>
    <w:rsid w:val="00C91B38"/>
    <w:rsid w:val="00DB536C"/>
    <w:rsid w:val="00EC7BB7"/>
    <w:rsid w:val="00F13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3A6A"/>
  <w15:chartTrackingRefBased/>
  <w15:docId w15:val="{8202378F-817A-49BE-BE7F-51C88A79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B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C7BB7"/>
    <w:rPr>
      <w:sz w:val="16"/>
      <w:szCs w:val="16"/>
    </w:rPr>
  </w:style>
  <w:style w:type="paragraph" w:styleId="Textocomentario">
    <w:name w:val="annotation text"/>
    <w:basedOn w:val="Normal"/>
    <w:link w:val="TextocomentarioCar"/>
    <w:uiPriority w:val="99"/>
    <w:semiHidden/>
    <w:unhideWhenUsed/>
    <w:rsid w:val="00EC7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BB7"/>
    <w:rPr>
      <w:sz w:val="20"/>
      <w:szCs w:val="20"/>
      <w:lang w:val="en-US"/>
    </w:rPr>
  </w:style>
  <w:style w:type="paragraph" w:styleId="Textodeglobo">
    <w:name w:val="Balloon Text"/>
    <w:basedOn w:val="Normal"/>
    <w:link w:val="TextodegloboCar"/>
    <w:uiPriority w:val="99"/>
    <w:semiHidden/>
    <w:unhideWhenUsed/>
    <w:rsid w:val="00EC7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BB7"/>
    <w:rPr>
      <w:rFonts w:ascii="Segoe UI" w:hAnsi="Segoe UI" w:cs="Segoe UI"/>
      <w:sz w:val="18"/>
      <w:szCs w:val="18"/>
      <w:lang w:val="en-US"/>
    </w:rPr>
  </w:style>
  <w:style w:type="paragraph" w:styleId="Encabezado">
    <w:name w:val="header"/>
    <w:basedOn w:val="Normal"/>
    <w:link w:val="EncabezadoCar"/>
    <w:uiPriority w:val="99"/>
    <w:unhideWhenUsed/>
    <w:rsid w:val="00DB5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36C"/>
    <w:rPr>
      <w:lang w:val="en-US"/>
    </w:rPr>
  </w:style>
  <w:style w:type="paragraph" w:styleId="Piedepgina">
    <w:name w:val="footer"/>
    <w:basedOn w:val="Normal"/>
    <w:link w:val="PiedepginaCar"/>
    <w:uiPriority w:val="99"/>
    <w:unhideWhenUsed/>
    <w:rsid w:val="00DB5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36C"/>
    <w:rPr>
      <w:lang w:val="en-US"/>
    </w:rPr>
  </w:style>
  <w:style w:type="table" w:styleId="Tablaconcuadrcula">
    <w:name w:val="Table Grid"/>
    <w:basedOn w:val="Tablanormal"/>
    <w:uiPriority w:val="39"/>
    <w:rsid w:val="00DB5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Gomez  , Mineli Michel</dc:creator>
  <cp:keywords/>
  <dc:description/>
  <cp:lastModifiedBy>BRUNO ALEJANDRO PATIÑO RENTERIA</cp:lastModifiedBy>
  <cp:revision>5</cp:revision>
  <dcterms:created xsi:type="dcterms:W3CDTF">2021-11-29T16:00:00Z</dcterms:created>
  <dcterms:modified xsi:type="dcterms:W3CDTF">2022-03-18T19:26:00Z</dcterms:modified>
</cp:coreProperties>
</file>