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2D5" w14:textId="77777777" w:rsidR="00075718" w:rsidRPr="00075718" w:rsidRDefault="00075718" w:rsidP="00075718">
      <w:pPr>
        <w:spacing w:after="0" w:line="240" w:lineRule="auto"/>
        <w:jc w:val="both"/>
        <w:rPr>
          <w:rFonts w:ascii="Arial Nova" w:hAnsi="Arial Nova" w:cs="Times New Roman"/>
        </w:rPr>
      </w:pPr>
    </w:p>
    <w:p w14:paraId="2788E13E" w14:textId="77777777" w:rsidR="00075718" w:rsidRPr="00075718" w:rsidRDefault="00075718" w:rsidP="00075718">
      <w:pPr>
        <w:spacing w:after="0" w:line="240" w:lineRule="auto"/>
        <w:jc w:val="both"/>
        <w:rPr>
          <w:rFonts w:ascii="Arial Nova" w:hAnsi="Arial Nova" w:cs="Times New Roman"/>
        </w:rPr>
      </w:pPr>
    </w:p>
    <w:p w14:paraId="4506CE0F" w14:textId="68805B3D" w:rsidR="002975B8" w:rsidRPr="00BA4C5D" w:rsidRDefault="00BA4C5D" w:rsidP="002975B8">
      <w:pPr>
        <w:shd w:val="clear" w:color="auto" w:fill="E7E6E6" w:themeFill="background2"/>
        <w:spacing w:after="0" w:line="276" w:lineRule="auto"/>
        <w:ind w:right="49"/>
        <w:jc w:val="center"/>
        <w:rPr>
          <w:rFonts w:ascii="Arial Nova" w:hAnsi="Arial Nova" w:cs="Times New Roman"/>
          <w:b/>
          <w:bCs/>
          <w:i/>
          <w:smallCaps/>
          <w:color w:val="002060"/>
        </w:rPr>
      </w:pPr>
      <w:r>
        <w:rPr>
          <w:rFonts w:ascii="Arial Nova" w:hAnsi="Arial Nova" w:cs="Times New Roman"/>
          <w:b/>
          <w:bCs/>
          <w:smallCaps/>
          <w:color w:val="002060"/>
        </w:rPr>
        <w:t xml:space="preserve">LA APLICACIÓN DEL PROTOCOLO DE MINNESOTA COMO INSTRUMENTO DE </w:t>
      </w:r>
      <w:r w:rsidRPr="00BA4C5D">
        <w:rPr>
          <w:rFonts w:ascii="Arial Nova" w:hAnsi="Arial Nova" w:cs="Times New Roman"/>
          <w:b/>
          <w:bCs/>
          <w:i/>
          <w:smallCaps/>
          <w:color w:val="002060"/>
        </w:rPr>
        <w:t>SOFT LAW</w:t>
      </w:r>
    </w:p>
    <w:p w14:paraId="311C010C" w14:textId="77777777" w:rsidR="002975B8" w:rsidRPr="00075718" w:rsidRDefault="002975B8" w:rsidP="002975B8">
      <w:pPr>
        <w:spacing w:after="0" w:line="240" w:lineRule="auto"/>
        <w:jc w:val="both"/>
        <w:rPr>
          <w:rFonts w:ascii="Arial Nova" w:hAnsi="Arial Nova" w:cs="Times New Roman"/>
        </w:rPr>
      </w:pPr>
    </w:p>
    <w:p w14:paraId="1A60FCE8" w14:textId="77777777" w:rsidR="002975B8" w:rsidRPr="00075718" w:rsidRDefault="002975B8" w:rsidP="002975B8">
      <w:pPr>
        <w:spacing w:after="0" w:line="240" w:lineRule="auto"/>
        <w:jc w:val="both"/>
        <w:rPr>
          <w:rFonts w:ascii="Arial Nova" w:hAnsi="Arial Nova" w:cs="Times New Roman"/>
        </w:rPr>
      </w:pPr>
    </w:p>
    <w:p w14:paraId="15D31811" w14:textId="77777777" w:rsidR="002975B8" w:rsidRDefault="002975B8" w:rsidP="00075718">
      <w:pPr>
        <w:shd w:val="clear" w:color="auto" w:fill="EDEDED" w:themeFill="accent3" w:themeFillTint="33"/>
        <w:spacing w:after="0" w:line="240" w:lineRule="auto"/>
        <w:ind w:left="2552"/>
        <w:jc w:val="right"/>
        <w:rPr>
          <w:rFonts w:ascii="Arial Nova" w:hAnsi="Arial Nova" w:cs="Times New Roman"/>
          <w:smallCaps/>
          <w:color w:val="002060"/>
        </w:rPr>
      </w:pPr>
      <w:bookmarkStart w:id="0" w:name="_Hlk133506787"/>
      <w:bookmarkStart w:id="1" w:name="_Hlk133506760"/>
      <w:r>
        <w:rPr>
          <w:rFonts w:ascii="Arial Nova" w:hAnsi="Arial Nova" w:cs="Times New Roman"/>
          <w:b/>
          <w:bCs/>
          <w:smallCaps/>
          <w:color w:val="002060"/>
        </w:rPr>
        <w:t>Ponente: Ministro Juan Luis González Alcántara Carrancá</w:t>
      </w:r>
      <w:r>
        <w:rPr>
          <w:rFonts w:ascii="Arial Nova" w:hAnsi="Arial Nova" w:cs="Times New Roman"/>
          <w:smallCaps/>
          <w:color w:val="002060"/>
        </w:rPr>
        <w:t>.</w:t>
      </w:r>
    </w:p>
    <w:p w14:paraId="5E4EF819" w14:textId="77777777" w:rsidR="002975B8" w:rsidRDefault="002975B8" w:rsidP="00075718">
      <w:pPr>
        <w:shd w:val="clear" w:color="auto" w:fill="EDEDED" w:themeFill="accent3" w:themeFillTint="33"/>
        <w:spacing w:after="0" w:line="240" w:lineRule="auto"/>
        <w:ind w:left="2552"/>
        <w:jc w:val="right"/>
        <w:rPr>
          <w:rFonts w:ascii="Arial Nova" w:hAnsi="Arial Nova" w:cs="Times New Roman"/>
          <w:smallCaps/>
          <w:color w:val="002060"/>
        </w:rPr>
      </w:pPr>
      <w:bookmarkStart w:id="2" w:name="_Hlk133506801"/>
      <w:bookmarkEnd w:id="0"/>
      <w:r>
        <w:rPr>
          <w:rFonts w:ascii="Arial Nova" w:hAnsi="Arial Nova" w:cs="Times New Roman"/>
          <w:smallCaps/>
          <w:color w:val="002060"/>
        </w:rPr>
        <w:t xml:space="preserve">Secretarios: </w:t>
      </w:r>
      <w:bookmarkEnd w:id="2"/>
      <w:r>
        <w:rPr>
          <w:rFonts w:ascii="Arial Nova" w:hAnsi="Arial Nova" w:cs="Times New Roman"/>
          <w:smallCaps/>
          <w:color w:val="002060"/>
        </w:rPr>
        <w:t>Rosalba Rodríguez Mireles</w:t>
      </w:r>
    </w:p>
    <w:p w14:paraId="1690D291" w14:textId="77777777" w:rsidR="002975B8" w:rsidRDefault="002975B8" w:rsidP="00075718">
      <w:pPr>
        <w:shd w:val="clear" w:color="auto" w:fill="EDEDED" w:themeFill="accent3" w:themeFillTint="33"/>
        <w:spacing w:after="0" w:line="240" w:lineRule="auto"/>
        <w:ind w:left="2552"/>
        <w:jc w:val="right"/>
        <w:rPr>
          <w:rFonts w:ascii="Arial Nova" w:hAnsi="Arial Nova" w:cs="Times New Roman"/>
          <w:smallCaps/>
          <w:color w:val="002060"/>
        </w:rPr>
      </w:pPr>
      <w:r>
        <w:rPr>
          <w:rFonts w:ascii="Arial Nova" w:hAnsi="Arial Nova" w:cs="Times New Roman"/>
          <w:smallCaps/>
          <w:color w:val="002060"/>
        </w:rPr>
        <w:t>Fernando Sosa Pastrana</w:t>
      </w:r>
    </w:p>
    <w:p w14:paraId="4CEAC557" w14:textId="77777777" w:rsidR="002975B8" w:rsidRDefault="002975B8" w:rsidP="00075718">
      <w:pPr>
        <w:shd w:val="clear" w:color="auto" w:fill="EDEDED" w:themeFill="accent3" w:themeFillTint="33"/>
        <w:spacing w:after="0" w:line="240" w:lineRule="auto"/>
        <w:ind w:left="2552"/>
        <w:jc w:val="right"/>
        <w:rPr>
          <w:rFonts w:ascii="Arial Nova" w:hAnsi="Arial Nova" w:cs="Times New Roman"/>
          <w:smallCaps/>
          <w:color w:val="002060"/>
        </w:rPr>
      </w:pPr>
      <w:r>
        <w:rPr>
          <w:rFonts w:ascii="Arial Nova" w:hAnsi="Arial Nova" w:cs="Times New Roman"/>
          <w:smallCaps/>
          <w:color w:val="002060"/>
        </w:rPr>
        <w:t>Colaboró: Mario Armando Sandoval Islas</w:t>
      </w:r>
    </w:p>
    <w:p w14:paraId="65A16B14" w14:textId="77777777" w:rsidR="002975B8" w:rsidRDefault="002975B8" w:rsidP="00075718">
      <w:pPr>
        <w:shd w:val="clear" w:color="auto" w:fill="EDEDED" w:themeFill="accent3" w:themeFillTint="33"/>
        <w:spacing w:after="0" w:line="240" w:lineRule="auto"/>
        <w:ind w:left="2552"/>
        <w:jc w:val="right"/>
        <w:rPr>
          <w:rFonts w:ascii="Arial Nova" w:hAnsi="Arial Nova" w:cs="Times New Roman"/>
          <w:smallCaps/>
          <w:color w:val="002060"/>
        </w:rPr>
      </w:pPr>
      <w:r>
        <w:rPr>
          <w:rFonts w:ascii="Arial Nova" w:hAnsi="Arial Nova" w:cs="Times New Roman"/>
          <w:smallCaps/>
          <w:color w:val="002060"/>
        </w:rPr>
        <w:t>Eunice Delgadillo Briseño</w:t>
      </w:r>
    </w:p>
    <w:p w14:paraId="7C95BB40" w14:textId="77777777" w:rsidR="002975B8" w:rsidRDefault="002975B8" w:rsidP="00075718">
      <w:pPr>
        <w:shd w:val="clear" w:color="auto" w:fill="EDEDED" w:themeFill="accent3" w:themeFillTint="33"/>
        <w:spacing w:after="0" w:line="240" w:lineRule="auto"/>
        <w:ind w:left="2552"/>
        <w:jc w:val="right"/>
        <w:rPr>
          <w:rFonts w:ascii="Arial Nova" w:hAnsi="Arial Nova" w:cs="Times New Roman"/>
          <w:smallCaps/>
        </w:rPr>
      </w:pPr>
      <w:bookmarkStart w:id="3" w:name="_Hlk133506816"/>
      <w:r>
        <w:rPr>
          <w:rFonts w:ascii="Arial Nova" w:hAnsi="Arial Nova" w:cs="Times New Roman"/>
          <w:smallCaps/>
          <w:color w:val="002060"/>
        </w:rPr>
        <w:t>Expediente: Amparo Directo en Revisión 13/2021</w:t>
      </w:r>
      <w:r>
        <w:rPr>
          <w:rFonts w:ascii="Arial Nova" w:hAnsi="Arial Nova" w:cs="Times New Roman"/>
          <w:smallCaps/>
        </w:rPr>
        <w:t>.</w:t>
      </w:r>
      <w:bookmarkEnd w:id="1"/>
      <w:bookmarkEnd w:id="3"/>
    </w:p>
    <w:p w14:paraId="173D700D" w14:textId="77777777" w:rsidR="002975B8" w:rsidRDefault="002975B8" w:rsidP="002975B8">
      <w:pPr>
        <w:spacing w:after="0" w:line="240" w:lineRule="auto"/>
        <w:jc w:val="center"/>
        <w:rPr>
          <w:rFonts w:ascii="Arial Nova" w:hAnsi="Arial Nova" w:cs="Times New Roman"/>
          <w:sz w:val="20"/>
          <w:szCs w:val="20"/>
        </w:rPr>
      </w:pPr>
    </w:p>
    <w:tbl>
      <w:tblPr>
        <w:tblStyle w:val="Tablaconcuadrcu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2975B8" w14:paraId="1F44E90B" w14:textId="77777777" w:rsidTr="002975B8">
        <w:tc>
          <w:tcPr>
            <w:tcW w:w="8828" w:type="dxa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14:paraId="2B00687C" w14:textId="77777777" w:rsidR="002975B8" w:rsidRDefault="002975B8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14:paraId="49B514A5" w14:textId="77777777" w:rsidR="002975B8" w:rsidRDefault="002975B8">
            <w:pPr>
              <w:shd w:val="clear" w:color="auto" w:fill="FFFFFF" w:themeFill="background1"/>
              <w:spacing w:line="276" w:lineRule="auto"/>
              <w:rPr>
                <w:rFonts w:ascii="Arial Nova" w:hAnsi="Arial Nova" w:cs="Times New Roman"/>
                <w:smallCaps/>
                <w:color w:val="002060"/>
                <w:sz w:val="24"/>
                <w:szCs w:val="24"/>
              </w:rPr>
            </w:pPr>
            <w:r>
              <w:rPr>
                <w:rFonts w:ascii="Arial Nova" w:hAnsi="Arial Nova" w:cs="Times New Roman"/>
                <w:b/>
                <w:bCs/>
                <w:smallCaps/>
                <w:color w:val="000F2E"/>
                <w:sz w:val="28"/>
                <w:szCs w:val="28"/>
              </w:rPr>
              <w:t>R</w:t>
            </w:r>
            <w:r>
              <w:rPr>
                <w:rFonts w:ascii="Arial Nova" w:hAnsi="Arial Nova" w:cs="Times New Roman"/>
                <w:b/>
                <w:bCs/>
                <w:smallCaps/>
                <w:color w:val="000F2E"/>
                <w:sz w:val="24"/>
                <w:szCs w:val="24"/>
              </w:rPr>
              <w:t>esumen:</w:t>
            </w:r>
          </w:p>
          <w:p w14:paraId="261626B4" w14:textId="77777777" w:rsidR="00673B34" w:rsidRDefault="00673B34" w:rsidP="002975B8">
            <w:pPr>
              <w:jc w:val="both"/>
              <w:rPr>
                <w:rFonts w:ascii="Arial Nova" w:hAnsi="Arial Nova" w:cs="Arial"/>
                <w:bCs/>
              </w:rPr>
            </w:pPr>
          </w:p>
          <w:p w14:paraId="42E5CF3D" w14:textId="2CA5A6ED" w:rsidR="00C269E8" w:rsidRDefault="00673B34" w:rsidP="002975B8">
            <w:pPr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En el caso, e</w:t>
            </w:r>
            <w:r w:rsidR="002975B8" w:rsidRPr="002975B8">
              <w:rPr>
                <w:rFonts w:ascii="Arial Nova" w:hAnsi="Arial Nova" w:cs="Arial"/>
                <w:bCs/>
              </w:rPr>
              <w:t>lementos del Ejército Mexicano</w:t>
            </w:r>
            <w:r w:rsidR="002975B8">
              <w:rPr>
                <w:rFonts w:ascii="Arial Nova" w:hAnsi="Arial Nova" w:cs="Arial"/>
                <w:bCs/>
              </w:rPr>
              <w:t xml:space="preserve"> trasladaron </w:t>
            </w:r>
            <w:r w:rsidR="00170902">
              <w:rPr>
                <w:rFonts w:ascii="Arial Nova" w:hAnsi="Arial Nova" w:cs="Arial"/>
                <w:bCs/>
              </w:rPr>
              <w:t>a dos civil</w:t>
            </w:r>
            <w:r w:rsidR="00831010">
              <w:rPr>
                <w:rFonts w:ascii="Arial Nova" w:hAnsi="Arial Nova" w:cs="Arial"/>
                <w:bCs/>
              </w:rPr>
              <w:t>es</w:t>
            </w:r>
            <w:r w:rsidR="00170902">
              <w:rPr>
                <w:rFonts w:ascii="Arial Nova" w:hAnsi="Arial Nova" w:cs="Arial"/>
                <w:bCs/>
              </w:rPr>
              <w:t xml:space="preserve"> a un cerro</w:t>
            </w:r>
            <w:r w:rsidR="00B02A53">
              <w:rPr>
                <w:rFonts w:ascii="Arial Nova" w:hAnsi="Arial Nova" w:cs="Arial"/>
                <w:bCs/>
              </w:rPr>
              <w:t>,</w:t>
            </w:r>
            <w:r w:rsidR="00170902">
              <w:rPr>
                <w:rFonts w:ascii="Arial Nova" w:hAnsi="Arial Nova" w:cs="Arial"/>
                <w:bCs/>
              </w:rPr>
              <w:t xml:space="preserve"> les dispararon y </w:t>
            </w:r>
            <w:r w:rsidR="00F3267C">
              <w:rPr>
                <w:rFonts w:ascii="Arial Nova" w:hAnsi="Arial Nova" w:cs="Arial"/>
                <w:bCs/>
              </w:rPr>
              <w:t>mataron</w:t>
            </w:r>
            <w:r w:rsidR="00E82B38">
              <w:rPr>
                <w:rFonts w:ascii="Arial Nova" w:hAnsi="Arial Nova" w:cs="Arial"/>
                <w:bCs/>
              </w:rPr>
              <w:t xml:space="preserve"> a uno de ellos</w:t>
            </w:r>
            <w:r w:rsidR="00F3267C">
              <w:rPr>
                <w:rFonts w:ascii="Arial Nova" w:hAnsi="Arial Nova" w:cs="Arial"/>
                <w:bCs/>
              </w:rPr>
              <w:t xml:space="preserve">. </w:t>
            </w:r>
            <w:r w:rsidR="00170902">
              <w:rPr>
                <w:rFonts w:ascii="Arial Nova" w:hAnsi="Arial Nova" w:cs="Arial"/>
                <w:bCs/>
              </w:rPr>
              <w:t xml:space="preserve">En </w:t>
            </w:r>
            <w:r w:rsidR="00EF0AB2">
              <w:rPr>
                <w:rFonts w:ascii="Arial Nova" w:hAnsi="Arial Nova" w:cs="Arial"/>
                <w:bCs/>
              </w:rPr>
              <w:t xml:space="preserve">consecuencia, </w:t>
            </w:r>
            <w:r w:rsidR="00E944B5">
              <w:rPr>
                <w:rFonts w:ascii="Arial Nova" w:hAnsi="Arial Nova" w:cs="Arial"/>
                <w:bCs/>
              </w:rPr>
              <w:t xml:space="preserve">quien </w:t>
            </w:r>
            <w:r w:rsidR="00170902">
              <w:rPr>
                <w:rFonts w:ascii="Arial Nova" w:hAnsi="Arial Nova" w:cs="Arial"/>
                <w:bCs/>
              </w:rPr>
              <w:t>presuntamente dio la orden p</w:t>
            </w:r>
            <w:r w:rsidR="00EF0AB2">
              <w:rPr>
                <w:rFonts w:ascii="Arial Nova" w:hAnsi="Arial Nova" w:cs="Arial"/>
                <w:bCs/>
              </w:rPr>
              <w:t>ara accionar las armas de fuego</w:t>
            </w:r>
            <w:r w:rsidR="00E944B5">
              <w:rPr>
                <w:rFonts w:ascii="Arial Nova" w:hAnsi="Arial Nova" w:cs="Arial"/>
                <w:bCs/>
              </w:rPr>
              <w:t xml:space="preserve"> fue condenado por la comisión del delito de homicidio calificado</w:t>
            </w:r>
            <w:r w:rsidR="00EF0AB2">
              <w:rPr>
                <w:rFonts w:ascii="Arial Nova" w:hAnsi="Arial Nova" w:cs="Arial"/>
                <w:bCs/>
              </w:rPr>
              <w:t xml:space="preserve">. </w:t>
            </w:r>
            <w:r w:rsidR="00E944B5">
              <w:rPr>
                <w:rFonts w:ascii="Arial Nova" w:hAnsi="Arial Nova" w:cs="Arial"/>
                <w:bCs/>
              </w:rPr>
              <w:t>E</w:t>
            </w:r>
            <w:r w:rsidR="00170902">
              <w:rPr>
                <w:rFonts w:ascii="Arial Nova" w:hAnsi="Arial Nova" w:cs="Arial"/>
                <w:bCs/>
              </w:rPr>
              <w:t xml:space="preserve">l sentenciado </w:t>
            </w:r>
            <w:r w:rsidR="00E944B5">
              <w:rPr>
                <w:rFonts w:ascii="Arial Nova" w:hAnsi="Arial Nova" w:cs="Arial"/>
                <w:bCs/>
              </w:rPr>
              <w:t>apeló la sentencia condenatoria, pero en segunda instancia</w:t>
            </w:r>
            <w:r w:rsidR="00C269E8">
              <w:rPr>
                <w:rFonts w:ascii="Arial Nova" w:hAnsi="Arial Nova" w:cs="Arial"/>
                <w:bCs/>
              </w:rPr>
              <w:t xml:space="preserve"> </w:t>
            </w:r>
            <w:r w:rsidR="00BF21A6">
              <w:rPr>
                <w:rFonts w:ascii="Arial Nova" w:hAnsi="Arial Nova" w:cs="Arial"/>
                <w:bCs/>
              </w:rPr>
              <w:t xml:space="preserve">únicamente </w:t>
            </w:r>
            <w:r w:rsidR="00243946">
              <w:rPr>
                <w:rFonts w:ascii="Arial Nova" w:hAnsi="Arial Nova" w:cs="Arial"/>
                <w:bCs/>
              </w:rPr>
              <w:t xml:space="preserve">se modificaron cuestiones relativas </w:t>
            </w:r>
            <w:r w:rsidR="00BF21A6">
              <w:rPr>
                <w:rFonts w:ascii="Arial Nova" w:hAnsi="Arial Nova" w:cs="Arial"/>
                <w:bCs/>
              </w:rPr>
              <w:t xml:space="preserve">a la </w:t>
            </w:r>
            <w:r w:rsidR="00E944B5">
              <w:rPr>
                <w:rFonts w:ascii="Arial Nova" w:hAnsi="Arial Nova" w:cs="Arial"/>
                <w:bCs/>
              </w:rPr>
              <w:t>cuantía</w:t>
            </w:r>
            <w:r w:rsidR="00784623">
              <w:rPr>
                <w:rFonts w:ascii="Arial Nova" w:hAnsi="Arial Nova" w:cs="Arial"/>
                <w:bCs/>
              </w:rPr>
              <w:t xml:space="preserve"> para la </w:t>
            </w:r>
            <w:r w:rsidR="00BF21A6">
              <w:rPr>
                <w:rFonts w:ascii="Arial Nova" w:hAnsi="Arial Nova" w:cs="Arial"/>
                <w:bCs/>
              </w:rPr>
              <w:t>reparación del daño</w:t>
            </w:r>
            <w:r w:rsidR="007E2924">
              <w:rPr>
                <w:rFonts w:ascii="Arial Nova" w:hAnsi="Arial Nova" w:cs="Arial"/>
                <w:bCs/>
              </w:rPr>
              <w:t xml:space="preserve"> </w:t>
            </w:r>
            <w:r w:rsidR="00784623">
              <w:rPr>
                <w:rFonts w:ascii="Arial Nova" w:hAnsi="Arial Nova" w:cs="Arial"/>
                <w:bCs/>
              </w:rPr>
              <w:t>de las v</w:t>
            </w:r>
            <w:r w:rsidR="008027BE">
              <w:rPr>
                <w:rFonts w:ascii="Arial Nova" w:hAnsi="Arial Nova" w:cs="Arial"/>
                <w:bCs/>
              </w:rPr>
              <w:t>íctimas</w:t>
            </w:r>
            <w:r w:rsidR="00BF21A6">
              <w:rPr>
                <w:rFonts w:ascii="Arial Nova" w:hAnsi="Arial Nova" w:cs="Arial"/>
                <w:bCs/>
              </w:rPr>
              <w:t>.</w:t>
            </w:r>
          </w:p>
          <w:p w14:paraId="054C3413" w14:textId="77777777" w:rsidR="00C269E8" w:rsidRDefault="00C269E8" w:rsidP="002975B8">
            <w:pPr>
              <w:jc w:val="both"/>
              <w:rPr>
                <w:rFonts w:ascii="Arial Nova" w:hAnsi="Arial Nova" w:cs="Arial"/>
                <w:bCs/>
              </w:rPr>
            </w:pPr>
          </w:p>
          <w:p w14:paraId="5776795E" w14:textId="6A019502" w:rsidR="00170902" w:rsidRDefault="00C269E8" w:rsidP="002975B8">
            <w:pPr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 xml:space="preserve">Por ello, </w:t>
            </w:r>
            <w:r w:rsidR="00EF0AB2">
              <w:rPr>
                <w:rFonts w:ascii="Arial Nova" w:hAnsi="Arial Nova" w:cs="Arial"/>
                <w:bCs/>
              </w:rPr>
              <w:t xml:space="preserve">el sentenciado </w:t>
            </w:r>
            <w:r w:rsidR="007E2924">
              <w:rPr>
                <w:rFonts w:ascii="Arial Nova" w:hAnsi="Arial Nova" w:cs="Arial"/>
                <w:bCs/>
              </w:rPr>
              <w:t>promovió</w:t>
            </w:r>
            <w:r w:rsidR="00BA591F">
              <w:rPr>
                <w:rFonts w:ascii="Arial Nova" w:hAnsi="Arial Nova" w:cs="Arial"/>
                <w:bCs/>
              </w:rPr>
              <w:t xml:space="preserve"> amparo directo</w:t>
            </w:r>
            <w:r w:rsidR="00EF0AB2">
              <w:rPr>
                <w:rFonts w:ascii="Arial Nova" w:hAnsi="Arial Nova" w:cs="Arial"/>
                <w:bCs/>
              </w:rPr>
              <w:t>. En este,</w:t>
            </w:r>
            <w:r w:rsidR="00BA591F">
              <w:rPr>
                <w:rFonts w:ascii="Arial Nova" w:hAnsi="Arial Nova" w:cs="Arial"/>
                <w:bCs/>
              </w:rPr>
              <w:t xml:space="preserve"> </w:t>
            </w:r>
            <w:r>
              <w:rPr>
                <w:rFonts w:ascii="Arial Nova" w:hAnsi="Arial Nova" w:cs="Arial"/>
                <w:bCs/>
              </w:rPr>
              <w:t>argumentó</w:t>
            </w:r>
            <w:r w:rsidR="00F3235F">
              <w:rPr>
                <w:rFonts w:ascii="Arial Nova" w:hAnsi="Arial Nova" w:cs="Arial"/>
                <w:bCs/>
              </w:rPr>
              <w:t xml:space="preserve"> que la Sala de apelación estudió </w:t>
            </w:r>
            <w:r w:rsidR="00F3235F" w:rsidRPr="00AD7DCE">
              <w:rPr>
                <w:rFonts w:ascii="Arial Nova" w:hAnsi="Arial Nova" w:cs="Arial"/>
                <w:bCs/>
              </w:rPr>
              <w:t>el caso de forma defectuosa y omitió</w:t>
            </w:r>
            <w:r w:rsidR="00B93325" w:rsidRPr="00AD7DCE">
              <w:rPr>
                <w:rFonts w:ascii="Arial Nova" w:hAnsi="Arial Nova" w:cs="Arial"/>
                <w:bCs/>
              </w:rPr>
              <w:t xml:space="preserve"> emplear</w:t>
            </w:r>
            <w:r w:rsidRPr="00AD7DCE">
              <w:rPr>
                <w:rFonts w:ascii="Arial Nova" w:hAnsi="Arial Nova" w:cs="Arial"/>
                <w:bCs/>
              </w:rPr>
              <w:t xml:space="preserve"> </w:t>
            </w:r>
            <w:r w:rsidR="000677DE" w:rsidRPr="00AD7DCE">
              <w:rPr>
                <w:rFonts w:ascii="Arial Nova" w:hAnsi="Arial Nova" w:cs="Arial"/>
                <w:bCs/>
              </w:rPr>
              <w:t xml:space="preserve">los </w:t>
            </w:r>
            <w:r w:rsidRPr="00AD7DCE">
              <w:rPr>
                <w:rFonts w:ascii="Arial Nova" w:hAnsi="Arial Nova" w:cs="Arial"/>
                <w:bCs/>
              </w:rPr>
              <w:t xml:space="preserve">parámetros internacionales de </w:t>
            </w:r>
            <w:proofErr w:type="spellStart"/>
            <w:r w:rsidRPr="00AD7DCE">
              <w:rPr>
                <w:rFonts w:ascii="Arial Nova" w:hAnsi="Arial Nova" w:cs="Arial"/>
                <w:bCs/>
                <w:i/>
              </w:rPr>
              <w:t>soft</w:t>
            </w:r>
            <w:proofErr w:type="spellEnd"/>
            <w:r w:rsidRPr="00AD7DCE">
              <w:rPr>
                <w:rFonts w:ascii="Arial Nova" w:hAnsi="Arial Nova" w:cs="Arial"/>
                <w:bCs/>
                <w:i/>
              </w:rPr>
              <w:t xml:space="preserve"> </w:t>
            </w:r>
            <w:proofErr w:type="spellStart"/>
            <w:r w:rsidRPr="00AD7DCE">
              <w:rPr>
                <w:rFonts w:ascii="Arial Nova" w:hAnsi="Arial Nova" w:cs="Arial"/>
                <w:bCs/>
                <w:i/>
              </w:rPr>
              <w:t>law</w:t>
            </w:r>
            <w:proofErr w:type="spellEnd"/>
            <w:r w:rsidRPr="00AD7DCE">
              <w:rPr>
                <w:rFonts w:ascii="Arial Nova" w:hAnsi="Arial Nova" w:cs="Arial"/>
                <w:bCs/>
              </w:rPr>
              <w:t xml:space="preserve"> </w:t>
            </w:r>
            <w:r w:rsidR="00AD7DCE" w:rsidRPr="00AD7DCE">
              <w:rPr>
                <w:rFonts w:ascii="Arial Nova" w:hAnsi="Arial Nova" w:cs="Arial"/>
                <w:bCs/>
              </w:rPr>
              <w:t>sobre</w:t>
            </w:r>
            <w:r w:rsidR="00B93325" w:rsidRPr="00AD7DCE">
              <w:rPr>
                <w:rFonts w:ascii="Arial Nova" w:hAnsi="Arial Nova" w:cs="Arial"/>
                <w:bCs/>
              </w:rPr>
              <w:t xml:space="preserve"> ejecuciones extrajudiciales, </w:t>
            </w:r>
            <w:r w:rsidR="000677DE" w:rsidRPr="00AD7DCE">
              <w:rPr>
                <w:rFonts w:ascii="Arial Nova" w:hAnsi="Arial Nova" w:cs="Arial"/>
                <w:bCs/>
              </w:rPr>
              <w:t>en específico</w:t>
            </w:r>
            <w:r w:rsidR="000D6F7E" w:rsidRPr="00AD7DCE">
              <w:rPr>
                <w:rFonts w:ascii="Arial Nova" w:hAnsi="Arial Nova" w:cs="Arial"/>
                <w:bCs/>
              </w:rPr>
              <w:t>,</w:t>
            </w:r>
            <w:r w:rsidR="000677DE" w:rsidRPr="00AD7DCE">
              <w:rPr>
                <w:rFonts w:ascii="Arial Nova" w:hAnsi="Arial Nova" w:cs="Arial"/>
                <w:bCs/>
              </w:rPr>
              <w:t xml:space="preserve"> invocó </w:t>
            </w:r>
            <w:r w:rsidR="00B93325" w:rsidRPr="00AD7DCE">
              <w:rPr>
                <w:rFonts w:ascii="Arial Nova" w:hAnsi="Arial Nova" w:cs="Arial"/>
                <w:bCs/>
              </w:rPr>
              <w:t>los lineamientos asentados en el Protocolo de Minnesota.</w:t>
            </w:r>
            <w:r>
              <w:rPr>
                <w:rFonts w:ascii="Arial Nova" w:hAnsi="Arial Nova" w:cs="Arial"/>
                <w:bCs/>
              </w:rPr>
              <w:t xml:space="preserve"> Sin embargo, e</w:t>
            </w:r>
            <w:r w:rsidR="00E7618C">
              <w:rPr>
                <w:rFonts w:ascii="Arial Nova" w:hAnsi="Arial Nova" w:cs="Arial"/>
                <w:bCs/>
              </w:rPr>
              <w:t>l Tribunal Colegiado</w:t>
            </w:r>
            <w:r>
              <w:rPr>
                <w:rFonts w:ascii="Arial Nova" w:hAnsi="Arial Nova" w:cs="Arial"/>
                <w:bCs/>
              </w:rPr>
              <w:t xml:space="preserve"> </w:t>
            </w:r>
            <w:r w:rsidR="00A71C0C">
              <w:rPr>
                <w:rFonts w:ascii="Arial Nova" w:hAnsi="Arial Nova" w:cs="Arial"/>
                <w:bCs/>
              </w:rPr>
              <w:t xml:space="preserve">le </w:t>
            </w:r>
            <w:r>
              <w:rPr>
                <w:rFonts w:ascii="Arial Nova" w:hAnsi="Arial Nova" w:cs="Arial"/>
                <w:bCs/>
              </w:rPr>
              <w:t>neg</w:t>
            </w:r>
            <w:r w:rsidR="003C6A30">
              <w:rPr>
                <w:rFonts w:ascii="Arial Nova" w:hAnsi="Arial Nova" w:cs="Arial"/>
                <w:bCs/>
              </w:rPr>
              <w:t>ó</w:t>
            </w:r>
            <w:r>
              <w:rPr>
                <w:rFonts w:ascii="Arial Nova" w:hAnsi="Arial Nova" w:cs="Arial"/>
                <w:bCs/>
              </w:rPr>
              <w:t xml:space="preserve"> el amparo</w:t>
            </w:r>
            <w:r w:rsidR="003C6A30">
              <w:rPr>
                <w:rFonts w:ascii="Arial Nova" w:hAnsi="Arial Nova" w:cs="Arial"/>
                <w:bCs/>
              </w:rPr>
              <w:t xml:space="preserve">, por lo que </w:t>
            </w:r>
            <w:r>
              <w:rPr>
                <w:rFonts w:ascii="Arial Nova" w:hAnsi="Arial Nova" w:cs="Arial"/>
                <w:bCs/>
              </w:rPr>
              <w:t>interpuso recurso de revisión.</w:t>
            </w:r>
          </w:p>
          <w:p w14:paraId="3F7DD817" w14:textId="59D7CCBC" w:rsidR="008027BE" w:rsidRDefault="008027BE" w:rsidP="002975B8">
            <w:pPr>
              <w:jc w:val="both"/>
              <w:rPr>
                <w:rFonts w:ascii="Arial Nova" w:hAnsi="Arial Nova" w:cs="Arial"/>
                <w:bCs/>
              </w:rPr>
            </w:pPr>
          </w:p>
          <w:p w14:paraId="46D63518" w14:textId="74FA29C4" w:rsidR="008027BE" w:rsidRDefault="008027BE" w:rsidP="002975B8">
            <w:pPr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 xml:space="preserve">Al </w:t>
            </w:r>
            <w:r w:rsidR="00931299">
              <w:rPr>
                <w:rFonts w:ascii="Arial Nova" w:hAnsi="Arial Nova" w:cs="Arial"/>
                <w:bCs/>
              </w:rPr>
              <w:t xml:space="preserve">analizar </w:t>
            </w:r>
            <w:r>
              <w:rPr>
                <w:rFonts w:ascii="Arial Nova" w:hAnsi="Arial Nova" w:cs="Arial"/>
                <w:bCs/>
              </w:rPr>
              <w:t xml:space="preserve">la sentencia de segunda instancia, la Primera Sala </w:t>
            </w:r>
            <w:r w:rsidR="000D6F7E">
              <w:rPr>
                <w:rFonts w:ascii="Arial Nova" w:hAnsi="Arial Nova" w:cs="Arial"/>
                <w:bCs/>
              </w:rPr>
              <w:t xml:space="preserve">determinó que sí era procedente que las autoridades competentes revisaran si se aplicaron diversas reglas contenidas en el Protocolo de Minnesota, como instrumento de </w:t>
            </w:r>
            <w:proofErr w:type="spellStart"/>
            <w:r w:rsidR="000D6F7E" w:rsidRPr="000D6F7E">
              <w:rPr>
                <w:rFonts w:ascii="Arial Nova" w:hAnsi="Arial Nova" w:cs="Arial"/>
                <w:bCs/>
                <w:i/>
              </w:rPr>
              <w:t>soft</w:t>
            </w:r>
            <w:proofErr w:type="spellEnd"/>
            <w:r w:rsidR="000D6F7E" w:rsidRPr="000D6F7E">
              <w:rPr>
                <w:rFonts w:ascii="Arial Nova" w:hAnsi="Arial Nova" w:cs="Arial"/>
                <w:bCs/>
                <w:i/>
              </w:rPr>
              <w:t xml:space="preserve"> </w:t>
            </w:r>
            <w:proofErr w:type="spellStart"/>
            <w:r w:rsidR="000D6F7E" w:rsidRPr="000D6F7E">
              <w:rPr>
                <w:rFonts w:ascii="Arial Nova" w:hAnsi="Arial Nova" w:cs="Arial"/>
                <w:bCs/>
                <w:i/>
              </w:rPr>
              <w:t>law</w:t>
            </w:r>
            <w:proofErr w:type="spellEnd"/>
            <w:r w:rsidR="000D6F7E">
              <w:rPr>
                <w:rFonts w:ascii="Arial Nova" w:hAnsi="Arial Nova" w:cs="Arial"/>
                <w:bCs/>
              </w:rPr>
              <w:t>, en cumplimiento de obligaciones y estándares internacionales.</w:t>
            </w:r>
          </w:p>
          <w:p w14:paraId="4B01CDE7" w14:textId="3C5392B4" w:rsidR="00170902" w:rsidRDefault="00170902" w:rsidP="000D6F7E">
            <w:pPr>
              <w:jc w:val="both"/>
              <w:rPr>
                <w:rFonts w:ascii="Arial Nova" w:hAnsi="Arial Nova" w:cs="Arial"/>
                <w:bCs/>
              </w:rPr>
            </w:pPr>
          </w:p>
        </w:tc>
      </w:tr>
    </w:tbl>
    <w:p w14:paraId="31AD0178" w14:textId="77777777" w:rsidR="002975B8" w:rsidRDefault="002975B8" w:rsidP="00673B34">
      <w:pPr>
        <w:spacing w:after="0" w:line="240" w:lineRule="auto"/>
      </w:pPr>
    </w:p>
    <w:p w14:paraId="551E3474" w14:textId="77777777" w:rsidR="002975B8" w:rsidRDefault="002975B8" w:rsidP="00673B34">
      <w:pPr>
        <w:shd w:val="clear" w:color="auto" w:fill="BDD6EE" w:themeFill="accent1" w:themeFillTint="66"/>
        <w:spacing w:after="0" w:line="240" w:lineRule="auto"/>
        <w:jc w:val="right"/>
        <w:rPr>
          <w:rFonts w:ascii="Arial Nova" w:hAnsi="Arial Nova" w:cs="Times New Roman"/>
          <w:smallCaps/>
          <w:color w:val="000F2E"/>
          <w:sz w:val="24"/>
          <w:szCs w:val="24"/>
        </w:rPr>
      </w:pPr>
      <w:r>
        <w:rPr>
          <w:rFonts w:ascii="Arial Nova" w:hAnsi="Arial Nova" w:cs="Times New Roman"/>
          <w:b/>
          <w:bCs/>
          <w:smallCaps/>
          <w:color w:val="000F2E"/>
          <w:sz w:val="28"/>
          <w:szCs w:val="28"/>
        </w:rPr>
        <w:t>A</w:t>
      </w:r>
      <w:r>
        <w:rPr>
          <w:rFonts w:ascii="Arial Nova" w:hAnsi="Arial Nova" w:cs="Times New Roman"/>
          <w:b/>
          <w:bCs/>
          <w:smallCaps/>
          <w:color w:val="000F2E"/>
          <w:sz w:val="24"/>
          <w:szCs w:val="24"/>
        </w:rPr>
        <w:t>ntecedentes:</w:t>
      </w:r>
    </w:p>
    <w:p w14:paraId="02CF3A82" w14:textId="77777777" w:rsidR="002975B8" w:rsidRDefault="002975B8" w:rsidP="00673B34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p w14:paraId="35B4653F" w14:textId="619DCEDF" w:rsidR="00A16307" w:rsidRDefault="00BF21A6" w:rsidP="00673B34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>Un elemento del Ejército Mexicano</w:t>
      </w:r>
      <w:r w:rsidR="002975B8" w:rsidRPr="002975B8">
        <w:rPr>
          <w:rFonts w:ascii="Arial Nova" w:hAnsi="Arial Nova" w:cs="Times New Roman"/>
          <w:sz w:val="24"/>
          <w:szCs w:val="24"/>
        </w:rPr>
        <w:t xml:space="preserve"> </w:t>
      </w:r>
      <w:r>
        <w:rPr>
          <w:rFonts w:ascii="Arial Nova" w:hAnsi="Arial Nova" w:cs="Times New Roman"/>
          <w:sz w:val="24"/>
          <w:szCs w:val="24"/>
        </w:rPr>
        <w:t>fue condenado por el del</w:t>
      </w:r>
      <w:r w:rsidR="00A71C0C">
        <w:rPr>
          <w:rFonts w:ascii="Arial Nova" w:hAnsi="Arial Nova" w:cs="Times New Roman"/>
          <w:sz w:val="24"/>
          <w:szCs w:val="24"/>
        </w:rPr>
        <w:t>ito de homicidio calificado al haber trasladado</w:t>
      </w:r>
      <w:r>
        <w:rPr>
          <w:rFonts w:ascii="Arial Nova" w:hAnsi="Arial Nova" w:cs="Times New Roman"/>
          <w:sz w:val="24"/>
          <w:szCs w:val="24"/>
        </w:rPr>
        <w:t xml:space="preserve"> a dos </w:t>
      </w:r>
      <w:r w:rsidR="00A71C0C">
        <w:rPr>
          <w:rFonts w:ascii="Arial Nova" w:hAnsi="Arial Nova" w:cs="Times New Roman"/>
          <w:sz w:val="24"/>
          <w:szCs w:val="24"/>
        </w:rPr>
        <w:t>civiles a un cerro y</w:t>
      </w:r>
      <w:r>
        <w:rPr>
          <w:rFonts w:ascii="Arial Nova" w:hAnsi="Arial Nova" w:cs="Times New Roman"/>
          <w:sz w:val="24"/>
          <w:szCs w:val="24"/>
        </w:rPr>
        <w:t xml:space="preserve"> pr</w:t>
      </w:r>
      <w:r w:rsidR="00A71C0C">
        <w:rPr>
          <w:rFonts w:ascii="Arial Nova" w:hAnsi="Arial Nova" w:cs="Times New Roman"/>
          <w:sz w:val="24"/>
          <w:szCs w:val="24"/>
        </w:rPr>
        <w:t>ivar</w:t>
      </w:r>
      <w:r w:rsidR="006029D9">
        <w:rPr>
          <w:rFonts w:ascii="Arial Nova" w:hAnsi="Arial Nova" w:cs="Times New Roman"/>
          <w:sz w:val="24"/>
          <w:szCs w:val="24"/>
        </w:rPr>
        <w:t xml:space="preserve"> de la vida</w:t>
      </w:r>
      <w:r w:rsidR="00A71C0C">
        <w:rPr>
          <w:rFonts w:ascii="Arial Nova" w:hAnsi="Arial Nova" w:cs="Times New Roman"/>
          <w:sz w:val="24"/>
          <w:szCs w:val="24"/>
        </w:rPr>
        <w:t xml:space="preserve"> a uno de ellos</w:t>
      </w:r>
      <w:r w:rsidR="006029D9">
        <w:rPr>
          <w:rFonts w:ascii="Arial Nova" w:hAnsi="Arial Nova" w:cs="Times New Roman"/>
          <w:sz w:val="24"/>
          <w:szCs w:val="24"/>
        </w:rPr>
        <w:t>. Contra la condena por la comisión del delito, el sentenciado interpus</w:t>
      </w:r>
      <w:r w:rsidR="00A71C0C">
        <w:rPr>
          <w:rFonts w:ascii="Arial Nova" w:hAnsi="Arial Nova" w:cs="Times New Roman"/>
          <w:sz w:val="24"/>
          <w:szCs w:val="24"/>
        </w:rPr>
        <w:t xml:space="preserve">o recurso de apelación. En la </w:t>
      </w:r>
      <w:r w:rsidR="006029D9">
        <w:rPr>
          <w:rFonts w:ascii="Arial Nova" w:hAnsi="Arial Nova" w:cs="Times New Roman"/>
          <w:sz w:val="24"/>
          <w:szCs w:val="24"/>
        </w:rPr>
        <w:t xml:space="preserve">resolución de </w:t>
      </w:r>
      <w:r w:rsidR="000D6F7E">
        <w:rPr>
          <w:rFonts w:ascii="Arial Nova" w:hAnsi="Arial Nova" w:cs="Times New Roman"/>
          <w:sz w:val="24"/>
          <w:szCs w:val="24"/>
        </w:rPr>
        <w:t xml:space="preserve">segunda instancia, </w:t>
      </w:r>
      <w:r w:rsidR="006029D9">
        <w:rPr>
          <w:rFonts w:ascii="Arial Nova" w:hAnsi="Arial Nova" w:cs="Times New Roman"/>
          <w:sz w:val="24"/>
          <w:szCs w:val="24"/>
        </w:rPr>
        <w:t xml:space="preserve">la Sala de apelación modificó la pena para reducir el monto </w:t>
      </w:r>
      <w:r w:rsidR="00EF29C3">
        <w:rPr>
          <w:rFonts w:ascii="Arial Nova" w:hAnsi="Arial Nova" w:cs="Times New Roman"/>
          <w:sz w:val="24"/>
          <w:szCs w:val="24"/>
        </w:rPr>
        <w:t>destinado a cada una de las víctimas para reparar el daño</w:t>
      </w:r>
      <w:r w:rsidR="006029D9">
        <w:rPr>
          <w:rFonts w:ascii="Arial Nova" w:hAnsi="Arial Nova" w:cs="Times New Roman"/>
          <w:sz w:val="24"/>
          <w:szCs w:val="24"/>
        </w:rPr>
        <w:t>.</w:t>
      </w:r>
    </w:p>
    <w:p w14:paraId="618FF654" w14:textId="77777777" w:rsidR="00673B34" w:rsidRDefault="00673B34" w:rsidP="00673B34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p w14:paraId="781C31E6" w14:textId="7E16288F" w:rsidR="004164D0" w:rsidRDefault="00BF21A6" w:rsidP="00673B34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 xml:space="preserve">Inconforme, </w:t>
      </w:r>
      <w:r w:rsidR="00A71C0C">
        <w:rPr>
          <w:rFonts w:ascii="Arial Nova" w:hAnsi="Arial Nova" w:cs="Times New Roman"/>
          <w:sz w:val="24"/>
          <w:szCs w:val="24"/>
        </w:rPr>
        <w:t xml:space="preserve">el sentenciado </w:t>
      </w:r>
      <w:r>
        <w:rPr>
          <w:rFonts w:ascii="Arial Nova" w:hAnsi="Arial Nova" w:cs="Times New Roman"/>
          <w:sz w:val="24"/>
          <w:szCs w:val="24"/>
        </w:rPr>
        <w:t>prom</w:t>
      </w:r>
      <w:r w:rsidR="00A16307">
        <w:rPr>
          <w:rFonts w:ascii="Arial Nova" w:hAnsi="Arial Nova" w:cs="Times New Roman"/>
          <w:sz w:val="24"/>
          <w:szCs w:val="24"/>
        </w:rPr>
        <w:t>ovió juicio de amparo directo,</w:t>
      </w:r>
      <w:r w:rsidR="008027BE">
        <w:rPr>
          <w:rFonts w:ascii="Arial Nova" w:hAnsi="Arial Nova" w:cs="Times New Roman"/>
          <w:sz w:val="24"/>
          <w:szCs w:val="24"/>
        </w:rPr>
        <w:t xml:space="preserve"> </w:t>
      </w:r>
      <w:r w:rsidR="00A71C0C">
        <w:rPr>
          <w:rFonts w:ascii="Arial Nova" w:hAnsi="Arial Nova" w:cs="Times New Roman"/>
          <w:sz w:val="24"/>
          <w:szCs w:val="24"/>
        </w:rPr>
        <w:t>bajo el argumento</w:t>
      </w:r>
      <w:r w:rsidR="008027BE" w:rsidRPr="008027BE">
        <w:rPr>
          <w:rFonts w:ascii="Arial Nova" w:hAnsi="Arial Nova" w:cs="Times New Roman"/>
          <w:sz w:val="24"/>
          <w:szCs w:val="24"/>
        </w:rPr>
        <w:t xml:space="preserve"> </w:t>
      </w:r>
      <w:r w:rsidR="00A71C0C">
        <w:rPr>
          <w:rFonts w:ascii="Arial Nova" w:hAnsi="Arial Nova" w:cs="Times New Roman"/>
          <w:sz w:val="24"/>
          <w:szCs w:val="24"/>
        </w:rPr>
        <w:t xml:space="preserve">de </w:t>
      </w:r>
      <w:r w:rsidR="008027BE" w:rsidRPr="008027BE">
        <w:rPr>
          <w:rFonts w:ascii="Arial Nova" w:hAnsi="Arial Nova" w:cs="Times New Roman"/>
          <w:sz w:val="24"/>
          <w:szCs w:val="24"/>
        </w:rPr>
        <w:t xml:space="preserve">que la Sala de apelación estudió el caso de forma defectuosa y omitió emplear los parámetros internacionales de </w:t>
      </w:r>
      <w:proofErr w:type="spellStart"/>
      <w:r w:rsidR="008027BE" w:rsidRPr="008027BE">
        <w:rPr>
          <w:rFonts w:ascii="Arial Nova" w:hAnsi="Arial Nova" w:cs="Times New Roman"/>
          <w:i/>
          <w:sz w:val="24"/>
          <w:szCs w:val="24"/>
        </w:rPr>
        <w:t>soft</w:t>
      </w:r>
      <w:proofErr w:type="spellEnd"/>
      <w:r w:rsidR="008027BE" w:rsidRPr="008027BE">
        <w:rPr>
          <w:rFonts w:ascii="Arial Nova" w:hAnsi="Arial Nova" w:cs="Times New Roman"/>
          <w:i/>
          <w:sz w:val="24"/>
          <w:szCs w:val="24"/>
        </w:rPr>
        <w:t xml:space="preserve"> </w:t>
      </w:r>
      <w:proofErr w:type="spellStart"/>
      <w:r w:rsidR="008027BE" w:rsidRPr="008027BE">
        <w:rPr>
          <w:rFonts w:ascii="Arial Nova" w:hAnsi="Arial Nova" w:cs="Times New Roman"/>
          <w:i/>
          <w:sz w:val="24"/>
          <w:szCs w:val="24"/>
        </w:rPr>
        <w:t>law</w:t>
      </w:r>
      <w:proofErr w:type="spellEnd"/>
      <w:r w:rsidR="008027BE" w:rsidRPr="008027BE">
        <w:rPr>
          <w:rFonts w:ascii="Arial Nova" w:hAnsi="Arial Nova" w:cs="Times New Roman"/>
          <w:sz w:val="24"/>
          <w:szCs w:val="24"/>
        </w:rPr>
        <w:t xml:space="preserve"> </w:t>
      </w:r>
      <w:r w:rsidR="00A71C0C">
        <w:rPr>
          <w:rFonts w:ascii="Arial Nova" w:hAnsi="Arial Nova" w:cs="Times New Roman"/>
          <w:sz w:val="24"/>
          <w:szCs w:val="24"/>
        </w:rPr>
        <w:t xml:space="preserve">sobre </w:t>
      </w:r>
      <w:r w:rsidR="008027BE" w:rsidRPr="008027BE">
        <w:rPr>
          <w:rFonts w:ascii="Arial Nova" w:hAnsi="Arial Nova" w:cs="Times New Roman"/>
          <w:sz w:val="24"/>
          <w:szCs w:val="24"/>
        </w:rPr>
        <w:t xml:space="preserve">ejecuciones extrajudiciales, </w:t>
      </w:r>
      <w:r w:rsidR="00A16307">
        <w:rPr>
          <w:rFonts w:ascii="Arial Nova" w:hAnsi="Arial Nova" w:cs="Times New Roman"/>
          <w:sz w:val="24"/>
          <w:szCs w:val="24"/>
        </w:rPr>
        <w:t xml:space="preserve">omisión </w:t>
      </w:r>
      <w:r w:rsidR="004164D0">
        <w:rPr>
          <w:rFonts w:ascii="Arial Nova" w:hAnsi="Arial Nova" w:cs="Times New Roman"/>
          <w:sz w:val="24"/>
          <w:szCs w:val="24"/>
        </w:rPr>
        <w:t xml:space="preserve">que consideró </w:t>
      </w:r>
      <w:r w:rsidR="00A16307">
        <w:rPr>
          <w:rFonts w:ascii="Arial Nova" w:hAnsi="Arial Nova" w:cs="Times New Roman"/>
          <w:sz w:val="24"/>
          <w:szCs w:val="24"/>
        </w:rPr>
        <w:t xml:space="preserve">como una falta de exhaustividad y objetividad en el proceso penal. </w:t>
      </w:r>
      <w:r w:rsidR="00931299">
        <w:rPr>
          <w:rFonts w:ascii="Arial Nova" w:hAnsi="Arial Nova" w:cs="Times New Roman"/>
          <w:sz w:val="24"/>
          <w:szCs w:val="24"/>
        </w:rPr>
        <w:t>Lo anterior pues</w:t>
      </w:r>
      <w:r w:rsidR="00A16307">
        <w:rPr>
          <w:rFonts w:ascii="Arial Nova" w:hAnsi="Arial Nova" w:cs="Times New Roman"/>
          <w:sz w:val="24"/>
          <w:szCs w:val="24"/>
        </w:rPr>
        <w:t xml:space="preserve">, aun cuando no constituyen tratados obligatorios y vinculantes para el Estado Mexicano, </w:t>
      </w:r>
      <w:r w:rsidR="00F25434">
        <w:rPr>
          <w:rFonts w:ascii="Arial Nova" w:hAnsi="Arial Nova" w:cs="Times New Roman"/>
          <w:sz w:val="24"/>
          <w:szCs w:val="24"/>
        </w:rPr>
        <w:t xml:space="preserve">estos instrumentos </w:t>
      </w:r>
      <w:r w:rsidR="00A16307">
        <w:rPr>
          <w:rFonts w:ascii="Arial Nova" w:hAnsi="Arial Nova" w:cs="Times New Roman"/>
          <w:sz w:val="24"/>
          <w:szCs w:val="24"/>
        </w:rPr>
        <w:t xml:space="preserve">son estudios amplios y especializados que permiten mejorar las prácticas de las instituciones estatales. Asimismo, estimó </w:t>
      </w:r>
      <w:r w:rsidR="00E87D64" w:rsidRPr="00B648E2">
        <w:rPr>
          <w:rFonts w:ascii="Arial Nova" w:hAnsi="Arial Nova" w:cs="Times New Roman"/>
          <w:sz w:val="24"/>
          <w:szCs w:val="24"/>
        </w:rPr>
        <w:t xml:space="preserve">necesario aplicar </w:t>
      </w:r>
      <w:r w:rsidR="00E7618C" w:rsidRPr="00B648E2">
        <w:rPr>
          <w:rFonts w:ascii="Arial Nova" w:hAnsi="Arial Nova" w:cs="Times New Roman"/>
          <w:sz w:val="24"/>
          <w:szCs w:val="24"/>
        </w:rPr>
        <w:t>los</w:t>
      </w:r>
      <w:r w:rsidR="00E7618C">
        <w:rPr>
          <w:rFonts w:ascii="Arial Nova" w:hAnsi="Arial Nova" w:cs="Times New Roman"/>
          <w:sz w:val="24"/>
          <w:szCs w:val="24"/>
        </w:rPr>
        <w:t xml:space="preserve"> lineamientos asentados en el Protocolo de Minnesota a fin de esclarecer l</w:t>
      </w:r>
      <w:r w:rsidR="00E944B5">
        <w:rPr>
          <w:rFonts w:ascii="Arial Nova" w:hAnsi="Arial Nova" w:cs="Times New Roman"/>
          <w:sz w:val="24"/>
          <w:szCs w:val="24"/>
        </w:rPr>
        <w:t>a interpretación de los</w:t>
      </w:r>
      <w:r w:rsidR="00E7618C">
        <w:rPr>
          <w:rFonts w:ascii="Arial Nova" w:hAnsi="Arial Nova" w:cs="Times New Roman"/>
          <w:sz w:val="24"/>
          <w:szCs w:val="24"/>
        </w:rPr>
        <w:t xml:space="preserve"> hechos</w:t>
      </w:r>
      <w:r w:rsidR="00E944B5">
        <w:rPr>
          <w:rFonts w:ascii="Arial Nova" w:hAnsi="Arial Nova" w:cs="Times New Roman"/>
          <w:sz w:val="24"/>
          <w:szCs w:val="24"/>
        </w:rPr>
        <w:t>.</w:t>
      </w:r>
    </w:p>
    <w:p w14:paraId="2A41A0D5" w14:textId="77777777" w:rsidR="00673B34" w:rsidRDefault="00673B34" w:rsidP="00673B34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p w14:paraId="660C65B0" w14:textId="6AE9E6A1" w:rsidR="00E7618C" w:rsidRPr="008027BE" w:rsidRDefault="00E944B5" w:rsidP="00673B34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>El tribunal colegiado</w:t>
      </w:r>
      <w:r w:rsidR="00E87D64">
        <w:rPr>
          <w:rFonts w:ascii="Arial Nova" w:hAnsi="Arial Nova" w:cs="Times New Roman"/>
          <w:sz w:val="24"/>
          <w:szCs w:val="24"/>
        </w:rPr>
        <w:t xml:space="preserve"> concluyó que los tratados internacionales eran vinculantes, no así los instrumentos de </w:t>
      </w:r>
      <w:proofErr w:type="spellStart"/>
      <w:r w:rsidR="00E87D64" w:rsidRPr="00E87D64">
        <w:rPr>
          <w:rFonts w:ascii="Arial Nova" w:hAnsi="Arial Nova" w:cs="Times New Roman"/>
          <w:i/>
          <w:sz w:val="24"/>
          <w:szCs w:val="24"/>
        </w:rPr>
        <w:t>soft</w:t>
      </w:r>
      <w:proofErr w:type="spellEnd"/>
      <w:r w:rsidR="00E87D64" w:rsidRPr="00E87D64">
        <w:rPr>
          <w:rFonts w:ascii="Arial Nova" w:hAnsi="Arial Nova" w:cs="Times New Roman"/>
          <w:i/>
          <w:sz w:val="24"/>
          <w:szCs w:val="24"/>
        </w:rPr>
        <w:t xml:space="preserve"> </w:t>
      </w:r>
      <w:proofErr w:type="spellStart"/>
      <w:r w:rsidR="00E87D64" w:rsidRPr="00E87D64">
        <w:rPr>
          <w:rFonts w:ascii="Arial Nova" w:hAnsi="Arial Nova" w:cs="Times New Roman"/>
          <w:i/>
          <w:sz w:val="24"/>
          <w:szCs w:val="24"/>
        </w:rPr>
        <w:t>law</w:t>
      </w:r>
      <w:proofErr w:type="spellEnd"/>
      <w:r w:rsidR="00E87D64">
        <w:rPr>
          <w:rFonts w:ascii="Arial Nova" w:hAnsi="Arial Nova" w:cs="Times New Roman"/>
          <w:sz w:val="24"/>
          <w:szCs w:val="24"/>
        </w:rPr>
        <w:t xml:space="preserve">, por lo que negó el amparo. </w:t>
      </w:r>
      <w:r w:rsidR="00635841">
        <w:rPr>
          <w:rFonts w:ascii="Arial Nova" w:hAnsi="Arial Nova" w:cs="Times New Roman"/>
          <w:sz w:val="24"/>
          <w:szCs w:val="24"/>
        </w:rPr>
        <w:t xml:space="preserve">En contra de dicha sentencia, el quejoso interpuso el recurso de revisión estudiado por </w:t>
      </w:r>
      <w:r>
        <w:rPr>
          <w:rFonts w:ascii="Arial Nova" w:hAnsi="Arial Nova" w:cs="Times New Roman"/>
          <w:sz w:val="24"/>
          <w:szCs w:val="24"/>
        </w:rPr>
        <w:t>la</w:t>
      </w:r>
      <w:r w:rsidR="00635841">
        <w:rPr>
          <w:rFonts w:ascii="Arial Nova" w:hAnsi="Arial Nova" w:cs="Times New Roman"/>
          <w:sz w:val="24"/>
          <w:szCs w:val="24"/>
        </w:rPr>
        <w:t xml:space="preserve"> Sala. </w:t>
      </w:r>
    </w:p>
    <w:p w14:paraId="04A5FCC3" w14:textId="77777777" w:rsidR="002975B8" w:rsidRPr="002975B8" w:rsidRDefault="002975B8" w:rsidP="00673B34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p w14:paraId="6EDE86ED" w14:textId="77777777" w:rsidR="002975B8" w:rsidRPr="002975B8" w:rsidRDefault="002975B8" w:rsidP="00673B34">
      <w:pPr>
        <w:shd w:val="clear" w:color="auto" w:fill="BDD6EE" w:themeFill="accent1" w:themeFillTint="66"/>
        <w:spacing w:after="0" w:line="240" w:lineRule="auto"/>
        <w:jc w:val="right"/>
        <w:rPr>
          <w:rFonts w:ascii="Arial Nova" w:hAnsi="Arial Nova" w:cs="Times New Roman"/>
          <w:smallCaps/>
          <w:color w:val="000F2E"/>
          <w:sz w:val="24"/>
          <w:szCs w:val="24"/>
        </w:rPr>
      </w:pPr>
      <w:r w:rsidRPr="002975B8">
        <w:rPr>
          <w:rFonts w:ascii="Arial Nova" w:hAnsi="Arial Nova" w:cs="Times New Roman"/>
          <w:b/>
          <w:bCs/>
          <w:smallCaps/>
          <w:color w:val="000F2E"/>
          <w:sz w:val="28"/>
          <w:szCs w:val="28"/>
        </w:rPr>
        <w:t>D</w:t>
      </w:r>
      <w:r w:rsidRPr="002975B8">
        <w:rPr>
          <w:rFonts w:ascii="Arial Nova" w:hAnsi="Arial Nova" w:cs="Times New Roman"/>
          <w:b/>
          <w:bCs/>
          <w:smallCaps/>
          <w:color w:val="000F2E"/>
          <w:sz w:val="24"/>
          <w:szCs w:val="24"/>
        </w:rPr>
        <w:t xml:space="preserve">ecisión de la </w:t>
      </w:r>
      <w:r w:rsidRPr="002975B8">
        <w:rPr>
          <w:rFonts w:ascii="Arial Nova" w:hAnsi="Arial Nova" w:cs="Times New Roman"/>
          <w:b/>
          <w:bCs/>
          <w:smallCaps/>
          <w:color w:val="000F2E"/>
          <w:sz w:val="28"/>
          <w:szCs w:val="28"/>
        </w:rPr>
        <w:t>S</w:t>
      </w:r>
      <w:r w:rsidRPr="002975B8">
        <w:rPr>
          <w:rFonts w:ascii="Arial Nova" w:hAnsi="Arial Nova" w:cs="Times New Roman"/>
          <w:b/>
          <w:bCs/>
          <w:smallCaps/>
          <w:color w:val="000F2E"/>
          <w:sz w:val="24"/>
          <w:szCs w:val="24"/>
        </w:rPr>
        <w:t>ala:</w:t>
      </w:r>
    </w:p>
    <w:p w14:paraId="1B919CD1" w14:textId="77777777" w:rsidR="00673B34" w:rsidRDefault="00673B34" w:rsidP="00673B34">
      <w:pPr>
        <w:spacing w:after="0" w:line="240" w:lineRule="auto"/>
        <w:jc w:val="both"/>
        <w:rPr>
          <w:rFonts w:ascii="Arial Nova" w:hAnsi="Arial Nova" w:cs="Arial"/>
          <w:sz w:val="24"/>
          <w:szCs w:val="24"/>
        </w:rPr>
      </w:pPr>
    </w:p>
    <w:p w14:paraId="55CCD386" w14:textId="09B1479E" w:rsidR="00E944B5" w:rsidRDefault="002975B8" w:rsidP="00673B34">
      <w:pPr>
        <w:spacing w:after="0" w:line="240" w:lineRule="auto"/>
        <w:jc w:val="both"/>
        <w:rPr>
          <w:rFonts w:ascii="Arial Nova" w:hAnsi="Arial Nova" w:cs="Arial"/>
          <w:sz w:val="24"/>
          <w:szCs w:val="24"/>
        </w:rPr>
      </w:pPr>
      <w:r w:rsidRPr="002975B8">
        <w:rPr>
          <w:rFonts w:ascii="Arial Nova" w:hAnsi="Arial Nova" w:cs="Arial"/>
          <w:sz w:val="24"/>
          <w:szCs w:val="24"/>
        </w:rPr>
        <w:t xml:space="preserve">La Primera Sala </w:t>
      </w:r>
      <w:r w:rsidR="00D40ADD" w:rsidRPr="00D40ADD">
        <w:rPr>
          <w:rFonts w:ascii="Arial Nova" w:hAnsi="Arial Nova" w:cs="Arial"/>
          <w:sz w:val="24"/>
          <w:szCs w:val="24"/>
        </w:rPr>
        <w:t>determinó que e</w:t>
      </w:r>
      <w:r w:rsidR="00B719B4">
        <w:rPr>
          <w:rFonts w:ascii="Arial Nova" w:hAnsi="Arial Nova" w:cs="Arial"/>
          <w:sz w:val="24"/>
          <w:szCs w:val="24"/>
        </w:rPr>
        <w:t>ra</w:t>
      </w:r>
      <w:r w:rsidR="00D40ADD" w:rsidRPr="00D40ADD">
        <w:rPr>
          <w:rFonts w:ascii="Arial Nova" w:hAnsi="Arial Nova" w:cs="Arial"/>
          <w:sz w:val="24"/>
          <w:szCs w:val="24"/>
        </w:rPr>
        <w:t xml:space="preserve"> procedente que las autoridades competentes</w:t>
      </w:r>
      <w:r w:rsidR="00E944B5">
        <w:rPr>
          <w:rFonts w:ascii="Arial Nova" w:hAnsi="Arial Nova" w:cs="Arial"/>
          <w:sz w:val="24"/>
          <w:szCs w:val="24"/>
        </w:rPr>
        <w:t xml:space="preserve">, cuando analizaran casos sobre ejecuciones extrajudiciales, </w:t>
      </w:r>
      <w:r w:rsidR="00D40ADD" w:rsidRPr="00D40ADD">
        <w:rPr>
          <w:rFonts w:ascii="Arial Nova" w:hAnsi="Arial Nova" w:cs="Arial"/>
          <w:sz w:val="24"/>
          <w:szCs w:val="24"/>
        </w:rPr>
        <w:t>revis</w:t>
      </w:r>
      <w:r w:rsidR="00234C55">
        <w:rPr>
          <w:rFonts w:ascii="Arial Nova" w:hAnsi="Arial Nova" w:cs="Arial"/>
          <w:sz w:val="24"/>
          <w:szCs w:val="24"/>
        </w:rPr>
        <w:t>aran</w:t>
      </w:r>
      <w:r w:rsidR="00D40ADD" w:rsidRPr="00D40ADD">
        <w:rPr>
          <w:rFonts w:ascii="Arial Nova" w:hAnsi="Arial Nova" w:cs="Arial"/>
          <w:sz w:val="24"/>
          <w:szCs w:val="24"/>
        </w:rPr>
        <w:t xml:space="preserve"> si se aplicaron diversas reglas contenidas en el Protocolo de Minnesota</w:t>
      </w:r>
      <w:r w:rsidR="00E944B5">
        <w:rPr>
          <w:rFonts w:ascii="Arial Nova" w:hAnsi="Arial Nova" w:cs="Arial"/>
          <w:sz w:val="24"/>
          <w:szCs w:val="24"/>
        </w:rPr>
        <w:t xml:space="preserve"> a pesar de ser un </w:t>
      </w:r>
      <w:r w:rsidR="00D40ADD" w:rsidRPr="00D40ADD">
        <w:rPr>
          <w:rFonts w:ascii="Arial Nova" w:hAnsi="Arial Nova" w:cs="Arial"/>
          <w:sz w:val="24"/>
          <w:szCs w:val="24"/>
        </w:rPr>
        <w:t xml:space="preserve">instrumento de </w:t>
      </w:r>
      <w:proofErr w:type="spellStart"/>
      <w:r w:rsidR="00D40ADD" w:rsidRPr="00D40ADD">
        <w:rPr>
          <w:rFonts w:ascii="Arial Nova" w:hAnsi="Arial Nova" w:cs="Arial"/>
          <w:i/>
          <w:sz w:val="24"/>
          <w:szCs w:val="24"/>
        </w:rPr>
        <w:t>soft</w:t>
      </w:r>
      <w:proofErr w:type="spellEnd"/>
      <w:r w:rsidR="00D40ADD" w:rsidRPr="00D40ADD">
        <w:rPr>
          <w:rFonts w:ascii="Arial Nova" w:hAnsi="Arial Nova" w:cs="Arial"/>
          <w:i/>
          <w:sz w:val="24"/>
          <w:szCs w:val="24"/>
        </w:rPr>
        <w:t xml:space="preserve"> </w:t>
      </w:r>
      <w:proofErr w:type="spellStart"/>
      <w:r w:rsidR="00D40ADD" w:rsidRPr="00D40ADD">
        <w:rPr>
          <w:rFonts w:ascii="Arial Nova" w:hAnsi="Arial Nova" w:cs="Arial"/>
          <w:i/>
          <w:sz w:val="24"/>
          <w:szCs w:val="24"/>
        </w:rPr>
        <w:t>law</w:t>
      </w:r>
      <w:proofErr w:type="spellEnd"/>
      <w:r w:rsidR="00E944B5">
        <w:rPr>
          <w:rFonts w:ascii="Arial Nova" w:hAnsi="Arial Nova" w:cs="Arial"/>
          <w:sz w:val="24"/>
          <w:szCs w:val="24"/>
        </w:rPr>
        <w:t>.</w:t>
      </w:r>
      <w:r w:rsidR="008B0C18">
        <w:rPr>
          <w:rFonts w:ascii="Arial Nova" w:hAnsi="Arial Nova" w:cs="Arial"/>
          <w:sz w:val="24"/>
          <w:szCs w:val="24"/>
        </w:rPr>
        <w:t xml:space="preserve"> También, e</w:t>
      </w:r>
      <w:r w:rsidR="00E944B5">
        <w:rPr>
          <w:rFonts w:ascii="Arial Nova" w:hAnsi="Arial Nova" w:cs="Arial"/>
          <w:sz w:val="24"/>
          <w:szCs w:val="24"/>
        </w:rPr>
        <w:t>xplicó que el documento conocido como Protocolo de Minnesota</w:t>
      </w:r>
      <w:r w:rsidR="008B0C18">
        <w:rPr>
          <w:rStyle w:val="Refdenotaalpie"/>
          <w:rFonts w:ascii="Arial Nova" w:hAnsi="Arial Nova" w:cs="Arial"/>
          <w:sz w:val="24"/>
          <w:szCs w:val="24"/>
        </w:rPr>
        <w:footnoteReference w:id="1"/>
      </w:r>
      <w:r w:rsidR="00E944B5">
        <w:rPr>
          <w:rFonts w:ascii="Arial Nova" w:hAnsi="Arial Nova" w:cs="Arial"/>
          <w:sz w:val="24"/>
          <w:szCs w:val="24"/>
        </w:rPr>
        <w:t xml:space="preserve"> </w:t>
      </w:r>
      <w:r w:rsidR="008B0C18" w:rsidRPr="00C66244">
        <w:rPr>
          <w:rFonts w:ascii="Arial Nova" w:hAnsi="Arial Nova" w:cs="Arial"/>
          <w:sz w:val="24"/>
          <w:szCs w:val="24"/>
        </w:rPr>
        <w:t>enuncia un</w:t>
      </w:r>
      <w:r w:rsidR="00E944B5" w:rsidRPr="00C66244">
        <w:rPr>
          <w:rFonts w:ascii="Arial Nova" w:hAnsi="Arial Nova" w:cs="Arial"/>
          <w:sz w:val="24"/>
          <w:szCs w:val="24"/>
        </w:rPr>
        <w:t xml:space="preserve"> conjunto de principios y directrices dirigidos a los Estados, instituciones y personas que participan en la investigación de una muerte potencialmente ilícita o sospechosa de desaparición forzada.</w:t>
      </w:r>
    </w:p>
    <w:p w14:paraId="103A2159" w14:textId="77777777" w:rsidR="00673B34" w:rsidRDefault="00673B34" w:rsidP="00673B34">
      <w:pPr>
        <w:spacing w:after="0" w:line="240" w:lineRule="auto"/>
        <w:jc w:val="both"/>
        <w:rPr>
          <w:rFonts w:ascii="Arial Nova" w:hAnsi="Arial Nova" w:cs="Arial"/>
          <w:sz w:val="24"/>
          <w:szCs w:val="24"/>
        </w:rPr>
      </w:pPr>
    </w:p>
    <w:p w14:paraId="6BC796AB" w14:textId="2EB80C1E" w:rsidR="00EA5BD1" w:rsidRDefault="008B0C18" w:rsidP="00673B34">
      <w:pPr>
        <w:spacing w:after="0" w:line="24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Al</w:t>
      </w:r>
      <w:r w:rsidR="00E87D64">
        <w:rPr>
          <w:rFonts w:ascii="Arial Nova" w:hAnsi="Arial Nova" w:cs="Arial"/>
          <w:sz w:val="24"/>
          <w:szCs w:val="24"/>
        </w:rPr>
        <w:t xml:space="preserve"> estudiar la naturaleza jurídica de </w:t>
      </w:r>
      <w:r w:rsidR="00931299">
        <w:rPr>
          <w:rFonts w:ascii="Arial Nova" w:hAnsi="Arial Nova" w:cs="Arial"/>
          <w:sz w:val="24"/>
          <w:szCs w:val="24"/>
        </w:rPr>
        <w:t>é</w:t>
      </w:r>
      <w:r w:rsidR="00E87D64">
        <w:rPr>
          <w:rFonts w:ascii="Arial Nova" w:hAnsi="Arial Nova" w:cs="Arial"/>
          <w:sz w:val="24"/>
          <w:szCs w:val="24"/>
        </w:rPr>
        <w:t xml:space="preserve">ste, </w:t>
      </w:r>
      <w:r>
        <w:rPr>
          <w:rFonts w:ascii="Arial Nova" w:hAnsi="Arial Nova" w:cs="Arial"/>
          <w:sz w:val="24"/>
          <w:szCs w:val="24"/>
        </w:rPr>
        <w:t>reconoció que los instrumentos de</w:t>
      </w:r>
      <w:r w:rsidR="00E87D64">
        <w:rPr>
          <w:rFonts w:ascii="Arial Nova" w:hAnsi="Arial Nova" w:cs="Arial"/>
          <w:sz w:val="24"/>
          <w:szCs w:val="24"/>
        </w:rPr>
        <w:t xml:space="preserve"> </w:t>
      </w:r>
      <w:proofErr w:type="spellStart"/>
      <w:r w:rsidR="00E87D64" w:rsidRPr="00EA5BD1">
        <w:rPr>
          <w:rFonts w:ascii="Arial Nova" w:hAnsi="Arial Nova" w:cs="Arial"/>
          <w:i/>
          <w:sz w:val="24"/>
          <w:szCs w:val="24"/>
        </w:rPr>
        <w:t>soft</w:t>
      </w:r>
      <w:proofErr w:type="spellEnd"/>
      <w:r w:rsidR="00E87D64" w:rsidRPr="00EA5BD1">
        <w:rPr>
          <w:rFonts w:ascii="Arial Nova" w:hAnsi="Arial Nova" w:cs="Arial"/>
          <w:i/>
          <w:sz w:val="24"/>
          <w:szCs w:val="24"/>
        </w:rPr>
        <w:t xml:space="preserve"> </w:t>
      </w:r>
      <w:proofErr w:type="spellStart"/>
      <w:r w:rsidR="00E87D64" w:rsidRPr="00EA5BD1">
        <w:rPr>
          <w:rFonts w:ascii="Arial Nova" w:hAnsi="Arial Nova" w:cs="Arial"/>
          <w:i/>
          <w:sz w:val="24"/>
          <w:szCs w:val="24"/>
        </w:rPr>
        <w:t>law</w:t>
      </w:r>
      <w:proofErr w:type="spellEnd"/>
      <w:r w:rsidR="00E87D64">
        <w:rPr>
          <w:rFonts w:ascii="Arial Nova" w:hAnsi="Arial Nova" w:cs="Arial"/>
          <w:sz w:val="24"/>
          <w:szCs w:val="24"/>
        </w:rPr>
        <w:t xml:space="preserve"> </w:t>
      </w:r>
      <w:r>
        <w:rPr>
          <w:rFonts w:ascii="Arial Nova" w:hAnsi="Arial Nova" w:cs="Arial"/>
          <w:sz w:val="24"/>
          <w:szCs w:val="24"/>
        </w:rPr>
        <w:t>son</w:t>
      </w:r>
      <w:r w:rsidR="00E87D64">
        <w:rPr>
          <w:rFonts w:ascii="Arial Nova" w:hAnsi="Arial Nova" w:cs="Arial"/>
          <w:sz w:val="24"/>
          <w:szCs w:val="24"/>
        </w:rPr>
        <w:t xml:space="preserve"> elementos interpretativos fundamentales para desentrañar el sentido y contenido obligacional de las convenciones en materia de derechos humanos</w:t>
      </w:r>
      <w:r w:rsidR="00784623">
        <w:rPr>
          <w:rFonts w:ascii="Arial Nova" w:hAnsi="Arial Nova" w:cs="Arial"/>
          <w:sz w:val="24"/>
          <w:szCs w:val="24"/>
        </w:rPr>
        <w:t>.</w:t>
      </w:r>
      <w:r w:rsidR="00784623">
        <w:rPr>
          <w:rStyle w:val="Refdenotaalpie"/>
          <w:rFonts w:ascii="Arial Nova" w:hAnsi="Arial Nova" w:cs="Arial"/>
          <w:sz w:val="24"/>
          <w:szCs w:val="24"/>
        </w:rPr>
        <w:footnoteReference w:id="2"/>
      </w:r>
      <w:r w:rsidR="00E87D64">
        <w:rPr>
          <w:rFonts w:ascii="Arial Nova" w:hAnsi="Arial Nova" w:cs="Arial"/>
          <w:sz w:val="24"/>
          <w:szCs w:val="24"/>
        </w:rPr>
        <w:t xml:space="preserve"> </w:t>
      </w:r>
      <w:r>
        <w:rPr>
          <w:rFonts w:ascii="Arial Nova" w:hAnsi="Arial Nova" w:cs="Arial"/>
          <w:sz w:val="24"/>
          <w:szCs w:val="24"/>
        </w:rPr>
        <w:t>Para fundamentar esta afirmación,</w:t>
      </w:r>
      <w:r w:rsidR="00E87D64">
        <w:rPr>
          <w:rFonts w:ascii="Arial Nova" w:hAnsi="Arial Nova" w:cs="Arial"/>
          <w:sz w:val="24"/>
          <w:szCs w:val="24"/>
        </w:rPr>
        <w:t xml:space="preserve"> </w:t>
      </w:r>
      <w:r>
        <w:rPr>
          <w:rFonts w:ascii="Arial Nova" w:hAnsi="Arial Nova" w:cs="Arial"/>
          <w:sz w:val="24"/>
          <w:szCs w:val="24"/>
        </w:rPr>
        <w:t>la Sala presentó en su resolución los casos en los que la Suprema Corte y la Corte Interamericana de Derechos Humanos han hecho uso de dicho protocolo.</w:t>
      </w:r>
    </w:p>
    <w:p w14:paraId="0F5FD441" w14:textId="6A5E7875" w:rsidR="00673B34" w:rsidRDefault="00673B34" w:rsidP="00673B34">
      <w:pPr>
        <w:spacing w:after="0" w:line="240" w:lineRule="auto"/>
        <w:jc w:val="both"/>
        <w:rPr>
          <w:rFonts w:ascii="Arial Nova" w:hAnsi="Arial Nova" w:cs="Arial"/>
          <w:sz w:val="24"/>
          <w:szCs w:val="24"/>
        </w:rPr>
      </w:pPr>
    </w:p>
    <w:p w14:paraId="62EC1AF3" w14:textId="65B59F9B" w:rsidR="00EA5BD1" w:rsidRDefault="00673B34" w:rsidP="00673B34">
      <w:pPr>
        <w:spacing w:after="0" w:line="24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P</w:t>
      </w:r>
      <w:r w:rsidR="00492FB8">
        <w:rPr>
          <w:rFonts w:ascii="Arial Nova" w:hAnsi="Arial Nova" w:cs="Arial"/>
          <w:sz w:val="24"/>
          <w:szCs w:val="24"/>
        </w:rPr>
        <w:t xml:space="preserve">or lo antes expuesto, la Sala </w:t>
      </w:r>
      <w:r w:rsidR="00B5416F">
        <w:rPr>
          <w:rFonts w:ascii="Arial Nova" w:hAnsi="Arial Nova" w:cs="Arial"/>
          <w:sz w:val="24"/>
          <w:szCs w:val="24"/>
        </w:rPr>
        <w:t>concluyó</w:t>
      </w:r>
      <w:r w:rsidR="00492FB8" w:rsidRPr="00492FB8">
        <w:rPr>
          <w:rFonts w:ascii="Arial Nova" w:hAnsi="Arial Nova" w:cs="Arial"/>
          <w:sz w:val="24"/>
          <w:szCs w:val="24"/>
        </w:rPr>
        <w:t xml:space="preserve"> que el razonamiento del Tribunal Colegiado e</w:t>
      </w:r>
      <w:r w:rsidR="00B122DD">
        <w:rPr>
          <w:rFonts w:ascii="Arial Nova" w:hAnsi="Arial Nova" w:cs="Arial"/>
          <w:sz w:val="24"/>
          <w:szCs w:val="24"/>
        </w:rPr>
        <w:t>ra</w:t>
      </w:r>
      <w:r w:rsidR="00492FB8" w:rsidRPr="00492FB8">
        <w:rPr>
          <w:rFonts w:ascii="Arial Nova" w:hAnsi="Arial Nova" w:cs="Arial"/>
          <w:sz w:val="24"/>
          <w:szCs w:val="24"/>
        </w:rPr>
        <w:t xml:space="preserve"> incorrecto debido a qu</w:t>
      </w:r>
      <w:r w:rsidR="00492FB8">
        <w:rPr>
          <w:rFonts w:ascii="Arial Nova" w:hAnsi="Arial Nova" w:cs="Arial"/>
          <w:sz w:val="24"/>
          <w:szCs w:val="24"/>
        </w:rPr>
        <w:t xml:space="preserve">e el Protocolo de Minnesota, aunque perteneciente </w:t>
      </w:r>
      <w:r w:rsidR="00492FB8" w:rsidRPr="00492FB8">
        <w:rPr>
          <w:rFonts w:ascii="Arial Nova" w:hAnsi="Arial Nova" w:cs="Arial"/>
          <w:sz w:val="24"/>
          <w:szCs w:val="24"/>
        </w:rPr>
        <w:t xml:space="preserve">a lo que la doctrina denomina </w:t>
      </w:r>
      <w:proofErr w:type="spellStart"/>
      <w:r w:rsidR="00492FB8" w:rsidRPr="00492FB8">
        <w:rPr>
          <w:rFonts w:ascii="Arial Nova" w:hAnsi="Arial Nova" w:cs="Arial"/>
          <w:i/>
          <w:sz w:val="24"/>
          <w:szCs w:val="24"/>
        </w:rPr>
        <w:t>soft</w:t>
      </w:r>
      <w:proofErr w:type="spellEnd"/>
      <w:r w:rsidR="00492FB8" w:rsidRPr="00492FB8">
        <w:rPr>
          <w:rFonts w:ascii="Arial Nova" w:hAnsi="Arial Nova" w:cs="Arial"/>
          <w:i/>
          <w:sz w:val="24"/>
          <w:szCs w:val="24"/>
        </w:rPr>
        <w:t xml:space="preserve"> </w:t>
      </w:r>
      <w:proofErr w:type="spellStart"/>
      <w:r w:rsidR="00492FB8" w:rsidRPr="00492FB8">
        <w:rPr>
          <w:rFonts w:ascii="Arial Nova" w:hAnsi="Arial Nova" w:cs="Arial"/>
          <w:i/>
          <w:sz w:val="24"/>
          <w:szCs w:val="24"/>
        </w:rPr>
        <w:t>law</w:t>
      </w:r>
      <w:proofErr w:type="spellEnd"/>
      <w:r w:rsidR="00492FB8" w:rsidRPr="00492FB8">
        <w:rPr>
          <w:rFonts w:ascii="Arial Nova" w:hAnsi="Arial Nova" w:cs="Arial"/>
          <w:sz w:val="24"/>
          <w:szCs w:val="24"/>
        </w:rPr>
        <w:t xml:space="preserve">, es un documento jurídicamente relevante. </w:t>
      </w:r>
      <w:r w:rsidR="00A4640B">
        <w:rPr>
          <w:rFonts w:ascii="Arial Nova" w:hAnsi="Arial Nova" w:cs="Arial"/>
          <w:sz w:val="24"/>
          <w:szCs w:val="24"/>
        </w:rPr>
        <w:t>Ello, l</w:t>
      </w:r>
      <w:r w:rsidR="00492FB8">
        <w:rPr>
          <w:rFonts w:ascii="Arial Nova" w:hAnsi="Arial Nova" w:cs="Arial"/>
          <w:sz w:val="24"/>
          <w:szCs w:val="24"/>
        </w:rPr>
        <w:t>a llevó a considerar que el órgano colegiado debió haber realizado</w:t>
      </w:r>
      <w:r w:rsidR="00492FB8" w:rsidRPr="00492FB8">
        <w:rPr>
          <w:rFonts w:ascii="Arial Nova" w:hAnsi="Arial Nova" w:cs="Arial"/>
          <w:sz w:val="24"/>
          <w:szCs w:val="24"/>
        </w:rPr>
        <w:t xml:space="preserve"> el estudio de l</w:t>
      </w:r>
      <w:r w:rsidR="008B0C18">
        <w:rPr>
          <w:rFonts w:ascii="Arial Nova" w:hAnsi="Arial Nova" w:cs="Arial"/>
          <w:sz w:val="24"/>
          <w:szCs w:val="24"/>
        </w:rPr>
        <w:t xml:space="preserve">os hechos del caso </w:t>
      </w:r>
      <w:r w:rsidR="00A4640B">
        <w:rPr>
          <w:rFonts w:ascii="Arial Nova" w:hAnsi="Arial Nova" w:cs="Arial"/>
          <w:sz w:val="24"/>
          <w:szCs w:val="24"/>
        </w:rPr>
        <w:t xml:space="preserve">a la luz de las reglas del </w:t>
      </w:r>
      <w:r w:rsidR="00931299">
        <w:rPr>
          <w:rFonts w:ascii="Arial Nova" w:hAnsi="Arial Nova" w:cs="Arial"/>
          <w:sz w:val="24"/>
          <w:szCs w:val="24"/>
        </w:rPr>
        <w:t>P</w:t>
      </w:r>
      <w:r w:rsidR="00492FB8" w:rsidRPr="00492FB8">
        <w:rPr>
          <w:rFonts w:ascii="Arial Nova" w:hAnsi="Arial Nova" w:cs="Arial"/>
          <w:sz w:val="24"/>
          <w:szCs w:val="24"/>
        </w:rPr>
        <w:t>roto</w:t>
      </w:r>
      <w:r w:rsidR="00492FB8">
        <w:rPr>
          <w:rFonts w:ascii="Arial Nova" w:hAnsi="Arial Nova" w:cs="Arial"/>
          <w:sz w:val="24"/>
          <w:szCs w:val="24"/>
        </w:rPr>
        <w:t>colo</w:t>
      </w:r>
      <w:r w:rsidR="00931299">
        <w:rPr>
          <w:rFonts w:ascii="Arial Nova" w:hAnsi="Arial Nova" w:cs="Arial"/>
          <w:sz w:val="24"/>
          <w:szCs w:val="24"/>
        </w:rPr>
        <w:t xml:space="preserve"> referido</w:t>
      </w:r>
      <w:r w:rsidR="00A4640B">
        <w:rPr>
          <w:rFonts w:ascii="Arial Nova" w:hAnsi="Arial Nova" w:cs="Arial"/>
          <w:sz w:val="24"/>
          <w:szCs w:val="24"/>
        </w:rPr>
        <w:t xml:space="preserve">. Por lo anterior, </w:t>
      </w:r>
      <w:r w:rsidR="00B5416F">
        <w:rPr>
          <w:rFonts w:ascii="Arial Nova" w:hAnsi="Arial Nova" w:cs="Arial"/>
          <w:sz w:val="24"/>
          <w:szCs w:val="24"/>
        </w:rPr>
        <w:t>procedió</w:t>
      </w:r>
      <w:r w:rsidR="00A4640B" w:rsidRPr="00A4640B">
        <w:rPr>
          <w:rFonts w:ascii="Arial Nova" w:hAnsi="Arial Nova" w:cs="Arial"/>
          <w:sz w:val="24"/>
          <w:szCs w:val="24"/>
        </w:rPr>
        <w:t xml:space="preserve"> </w:t>
      </w:r>
      <w:r w:rsidR="00A4640B">
        <w:rPr>
          <w:rFonts w:ascii="Arial Nova" w:hAnsi="Arial Nova" w:cs="Arial"/>
          <w:sz w:val="24"/>
          <w:szCs w:val="24"/>
        </w:rPr>
        <w:t xml:space="preserve">a </w:t>
      </w:r>
      <w:r w:rsidR="00A4640B" w:rsidRPr="00A4640B">
        <w:rPr>
          <w:rFonts w:ascii="Arial Nova" w:hAnsi="Arial Nova" w:cs="Arial"/>
          <w:sz w:val="24"/>
          <w:szCs w:val="24"/>
        </w:rPr>
        <w:t>revocar la sentencia recurrida y devolver los autos al Tribunal Col</w:t>
      </w:r>
      <w:r w:rsidR="00A4640B">
        <w:rPr>
          <w:rFonts w:ascii="Arial Nova" w:hAnsi="Arial Nova" w:cs="Arial"/>
          <w:sz w:val="24"/>
          <w:szCs w:val="24"/>
        </w:rPr>
        <w:t xml:space="preserve">egiado del </w:t>
      </w:r>
      <w:r w:rsidR="00A4640B">
        <w:rPr>
          <w:rFonts w:ascii="Arial Nova" w:hAnsi="Arial Nova" w:cs="Arial"/>
          <w:sz w:val="24"/>
          <w:szCs w:val="24"/>
        </w:rPr>
        <w:lastRenderedPageBreak/>
        <w:t>conocimiento a efecto de que d</w:t>
      </w:r>
      <w:r w:rsidR="00A4640B" w:rsidRPr="00A4640B">
        <w:rPr>
          <w:rFonts w:ascii="Arial Nova" w:hAnsi="Arial Nova" w:cs="Arial"/>
          <w:sz w:val="24"/>
          <w:szCs w:val="24"/>
        </w:rPr>
        <w:t>ict</w:t>
      </w:r>
      <w:r w:rsidR="008B0C18">
        <w:rPr>
          <w:rFonts w:ascii="Arial Nova" w:hAnsi="Arial Nova" w:cs="Arial"/>
          <w:sz w:val="24"/>
          <w:szCs w:val="24"/>
        </w:rPr>
        <w:t xml:space="preserve">ara </w:t>
      </w:r>
      <w:r w:rsidR="00A4640B" w:rsidRPr="00A4640B">
        <w:rPr>
          <w:rFonts w:ascii="Arial Nova" w:hAnsi="Arial Nova" w:cs="Arial"/>
          <w:sz w:val="24"/>
          <w:szCs w:val="24"/>
        </w:rPr>
        <w:t>una nueva resolución en la que, a la luz de la i</w:t>
      </w:r>
      <w:r w:rsidR="00A4640B">
        <w:rPr>
          <w:rFonts w:ascii="Arial Nova" w:hAnsi="Arial Nova" w:cs="Arial"/>
          <w:sz w:val="24"/>
          <w:szCs w:val="24"/>
        </w:rPr>
        <w:t xml:space="preserve">nterpretación realizada </w:t>
      </w:r>
      <w:r w:rsidR="00E944B5">
        <w:rPr>
          <w:rFonts w:ascii="Arial Nova" w:hAnsi="Arial Nova" w:cs="Arial"/>
          <w:sz w:val="24"/>
          <w:szCs w:val="24"/>
        </w:rPr>
        <w:t>por la</w:t>
      </w:r>
      <w:r w:rsidR="00A4640B" w:rsidRPr="00A4640B">
        <w:rPr>
          <w:rFonts w:ascii="Arial Nova" w:hAnsi="Arial Nova" w:cs="Arial"/>
          <w:sz w:val="24"/>
          <w:szCs w:val="24"/>
        </w:rPr>
        <w:t xml:space="preserve"> Primera Sala, anali</w:t>
      </w:r>
      <w:r w:rsidR="00393988">
        <w:rPr>
          <w:rFonts w:ascii="Arial Nova" w:hAnsi="Arial Nova" w:cs="Arial"/>
          <w:sz w:val="24"/>
          <w:szCs w:val="24"/>
        </w:rPr>
        <w:t>zara</w:t>
      </w:r>
      <w:r w:rsidR="00A4640B" w:rsidRPr="00A4640B">
        <w:rPr>
          <w:rFonts w:ascii="Arial Nova" w:hAnsi="Arial Nova" w:cs="Arial"/>
          <w:sz w:val="24"/>
          <w:szCs w:val="24"/>
        </w:rPr>
        <w:t xml:space="preserve"> nuevamente los conceptos de vi</w:t>
      </w:r>
      <w:r w:rsidR="00A4640B">
        <w:rPr>
          <w:rFonts w:ascii="Arial Nova" w:hAnsi="Arial Nova" w:cs="Arial"/>
          <w:sz w:val="24"/>
          <w:szCs w:val="24"/>
        </w:rPr>
        <w:t>olación y d</w:t>
      </w:r>
      <w:r w:rsidR="00393988">
        <w:rPr>
          <w:rFonts w:ascii="Arial Nova" w:hAnsi="Arial Nova" w:cs="Arial"/>
          <w:sz w:val="24"/>
          <w:szCs w:val="24"/>
        </w:rPr>
        <w:t>iera</w:t>
      </w:r>
      <w:r w:rsidR="00A4640B" w:rsidRPr="00A4640B">
        <w:rPr>
          <w:rFonts w:ascii="Arial Nova" w:hAnsi="Arial Nova" w:cs="Arial"/>
          <w:sz w:val="24"/>
          <w:szCs w:val="24"/>
        </w:rPr>
        <w:t xml:space="preserve"> respuesta a los planteamientos del quejoso.</w:t>
      </w:r>
    </w:p>
    <w:p w14:paraId="5B670216" w14:textId="77777777" w:rsidR="00673B34" w:rsidRDefault="00673B34" w:rsidP="00673B34">
      <w:pPr>
        <w:spacing w:after="0" w:line="240" w:lineRule="auto"/>
        <w:jc w:val="both"/>
        <w:rPr>
          <w:rFonts w:ascii="Arial Nova" w:hAnsi="Arial Nova" w:cs="Arial"/>
          <w:sz w:val="24"/>
          <w:szCs w:val="24"/>
        </w:rPr>
      </w:pPr>
    </w:p>
    <w:p w14:paraId="16D2CDCC" w14:textId="77777777" w:rsidR="002975B8" w:rsidRPr="002975B8" w:rsidRDefault="002975B8" w:rsidP="00673B34">
      <w:pPr>
        <w:shd w:val="clear" w:color="auto" w:fill="BDD6EE" w:themeFill="accent1" w:themeFillTint="66"/>
        <w:spacing w:after="0" w:line="240" w:lineRule="auto"/>
        <w:jc w:val="right"/>
        <w:rPr>
          <w:rFonts w:ascii="Arial Nova" w:hAnsi="Arial Nova" w:cs="Times New Roman"/>
          <w:smallCaps/>
          <w:color w:val="000F2E"/>
          <w:sz w:val="24"/>
          <w:szCs w:val="24"/>
        </w:rPr>
      </w:pPr>
      <w:r w:rsidRPr="002975B8">
        <w:rPr>
          <w:rFonts w:ascii="Arial Nova" w:hAnsi="Arial Nova" w:cs="Times New Roman"/>
          <w:b/>
          <w:bCs/>
          <w:smallCaps/>
          <w:color w:val="000F2E"/>
          <w:sz w:val="28"/>
          <w:szCs w:val="28"/>
        </w:rPr>
        <w:t>V</w:t>
      </w:r>
      <w:r w:rsidRPr="002975B8">
        <w:rPr>
          <w:rFonts w:ascii="Arial Nova" w:hAnsi="Arial Nova" w:cs="Times New Roman"/>
          <w:b/>
          <w:bCs/>
          <w:smallCaps/>
          <w:color w:val="000F2E"/>
          <w:sz w:val="24"/>
          <w:szCs w:val="24"/>
        </w:rPr>
        <w:t>otación:</w:t>
      </w:r>
    </w:p>
    <w:p w14:paraId="302DC5B4" w14:textId="77777777" w:rsidR="002975B8" w:rsidRPr="002975B8" w:rsidRDefault="002975B8" w:rsidP="00673B34">
      <w:pPr>
        <w:spacing w:after="0" w:line="240" w:lineRule="auto"/>
        <w:jc w:val="both"/>
        <w:rPr>
          <w:rFonts w:ascii="Arial Nova" w:hAnsi="Arial Nova" w:cs="Times New Roman"/>
          <w:b/>
          <w:bCs/>
          <w:sz w:val="24"/>
          <w:szCs w:val="24"/>
          <w:shd w:val="clear" w:color="auto" w:fill="BDD6EE" w:themeFill="accent1" w:themeFillTint="66"/>
        </w:rPr>
      </w:pPr>
    </w:p>
    <w:p w14:paraId="670665E0" w14:textId="68615919" w:rsidR="00635841" w:rsidRDefault="002975B8" w:rsidP="00673B34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  <w:r w:rsidRPr="002975B8">
        <w:rPr>
          <w:rFonts w:ascii="Arial Nova" w:hAnsi="Arial Nova" w:cs="Times New Roman"/>
          <w:sz w:val="24"/>
          <w:szCs w:val="24"/>
        </w:rPr>
        <w:t xml:space="preserve">El asunto fue aprobado en </w:t>
      </w:r>
      <w:r w:rsidR="007C5078">
        <w:rPr>
          <w:rFonts w:ascii="Arial Nova" w:hAnsi="Arial Nova" w:cs="Times New Roman"/>
          <w:sz w:val="24"/>
          <w:szCs w:val="24"/>
        </w:rPr>
        <w:t>sesión de la Primera Sala del 7 de diciembre de 2022</w:t>
      </w:r>
      <w:r w:rsidRPr="002975B8">
        <w:rPr>
          <w:rFonts w:ascii="Arial Nova" w:hAnsi="Arial Nova" w:cs="Times New Roman"/>
          <w:sz w:val="24"/>
          <w:szCs w:val="24"/>
        </w:rPr>
        <w:t xml:space="preserve">, por </w:t>
      </w:r>
      <w:r w:rsidR="00635841" w:rsidRPr="00635841">
        <w:rPr>
          <w:rFonts w:ascii="Arial Nova" w:hAnsi="Arial Nova" w:cs="Times New Roman"/>
          <w:sz w:val="24"/>
          <w:szCs w:val="24"/>
        </w:rPr>
        <w:t>un</w:t>
      </w:r>
      <w:r w:rsidR="00635841">
        <w:rPr>
          <w:rFonts w:ascii="Arial Nova" w:hAnsi="Arial Nova" w:cs="Times New Roman"/>
          <w:sz w:val="24"/>
          <w:szCs w:val="24"/>
        </w:rPr>
        <w:t xml:space="preserve">animidad de cinco votos de los Señores Ministros Jorge Mario Pardo Rebolledo, Alfredo Gutiérrez Ortiz Mena, Norma Lucía Piña Hernández, Juan Luis González Alcántara Carrancá y </w:t>
      </w:r>
      <w:r w:rsidR="00931299">
        <w:rPr>
          <w:rFonts w:ascii="Arial Nova" w:hAnsi="Arial Nova" w:cs="Times New Roman"/>
          <w:sz w:val="24"/>
          <w:szCs w:val="24"/>
        </w:rPr>
        <w:t>P</w:t>
      </w:r>
      <w:r w:rsidR="00635841">
        <w:rPr>
          <w:rFonts w:ascii="Arial Nova" w:hAnsi="Arial Nova" w:cs="Times New Roman"/>
          <w:sz w:val="24"/>
          <w:szCs w:val="24"/>
        </w:rPr>
        <w:t>residenta Ana Margarita Ríos F</w:t>
      </w:r>
      <w:r w:rsidR="007C5078">
        <w:rPr>
          <w:rFonts w:ascii="Arial Nova" w:hAnsi="Arial Nova" w:cs="Times New Roman"/>
          <w:sz w:val="24"/>
          <w:szCs w:val="24"/>
        </w:rPr>
        <w:t>arjat. El Señor Ministro J</w:t>
      </w:r>
      <w:r w:rsidR="00635841" w:rsidRPr="00635841">
        <w:rPr>
          <w:rFonts w:ascii="Arial Nova" w:hAnsi="Arial Nova" w:cs="Times New Roman"/>
          <w:sz w:val="24"/>
          <w:szCs w:val="24"/>
        </w:rPr>
        <w:t xml:space="preserve">orge </w:t>
      </w:r>
      <w:r w:rsidR="007C5078">
        <w:rPr>
          <w:rFonts w:ascii="Arial Nova" w:hAnsi="Arial Nova" w:cs="Times New Roman"/>
          <w:sz w:val="24"/>
          <w:szCs w:val="24"/>
        </w:rPr>
        <w:t>Mario P</w:t>
      </w:r>
      <w:r w:rsidR="00635841" w:rsidRPr="00635841">
        <w:rPr>
          <w:rFonts w:ascii="Arial Nova" w:hAnsi="Arial Nova" w:cs="Times New Roman"/>
          <w:sz w:val="24"/>
          <w:szCs w:val="24"/>
        </w:rPr>
        <w:t xml:space="preserve">ardo </w:t>
      </w:r>
      <w:r w:rsidR="007C5078">
        <w:rPr>
          <w:rFonts w:ascii="Arial Nova" w:hAnsi="Arial Nova" w:cs="Times New Roman"/>
          <w:sz w:val="24"/>
          <w:szCs w:val="24"/>
        </w:rPr>
        <w:t xml:space="preserve">Rebolledo, formuló </w:t>
      </w:r>
      <w:r w:rsidR="00635841" w:rsidRPr="00635841">
        <w:rPr>
          <w:rFonts w:ascii="Arial Nova" w:hAnsi="Arial Nova" w:cs="Times New Roman"/>
          <w:sz w:val="24"/>
          <w:szCs w:val="24"/>
        </w:rPr>
        <w:t>voto concurrente.</w:t>
      </w:r>
    </w:p>
    <w:p w14:paraId="7B7F3A42" w14:textId="77777777" w:rsidR="002975B8" w:rsidRDefault="002975B8" w:rsidP="00673B34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p w14:paraId="320C3D76" w14:textId="77777777" w:rsidR="002975B8" w:rsidRDefault="002975B8" w:rsidP="00673B34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808"/>
      </w:tblGrid>
      <w:tr w:rsidR="002975B8" w14:paraId="52978B12" w14:textId="77777777" w:rsidTr="002975B8">
        <w:tc>
          <w:tcPr>
            <w:tcW w:w="88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14:paraId="1A9EA11D" w14:textId="77777777" w:rsidR="002975B8" w:rsidRDefault="002975B8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>
              <w:rPr>
                <w:rFonts w:ascii="Arial Nova" w:hAnsi="Arial Nova" w:cs="Times New Roman"/>
                <w:b/>
                <w:bCs/>
                <w:smallCaps/>
                <w:color w:val="000F2E"/>
                <w:sz w:val="20"/>
                <w:szCs w:val="20"/>
              </w:rPr>
              <w:t>Documento con fines de difusión. Las únicas fuentes oficiales son las sentencias emitidas por la Suprema Corte de Justicia de la Nación, así como el Semanario Judicial de la Federación y su Gaceta.</w:t>
            </w:r>
          </w:p>
        </w:tc>
      </w:tr>
    </w:tbl>
    <w:p w14:paraId="1ABF1635" w14:textId="77777777" w:rsidR="003840C9" w:rsidRDefault="003840C9"/>
    <w:sectPr w:rsidR="003840C9" w:rsidSect="002975B8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B5F8" w14:textId="77777777" w:rsidR="008813C7" w:rsidRDefault="008813C7" w:rsidP="002975B8">
      <w:pPr>
        <w:spacing w:after="0" w:line="240" w:lineRule="auto"/>
      </w:pPr>
      <w:r>
        <w:separator/>
      </w:r>
    </w:p>
  </w:endnote>
  <w:endnote w:type="continuationSeparator" w:id="0">
    <w:p w14:paraId="7A3B73EC" w14:textId="77777777" w:rsidR="008813C7" w:rsidRDefault="008813C7" w:rsidP="0029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D659" w14:textId="77777777" w:rsidR="008813C7" w:rsidRDefault="008813C7" w:rsidP="002975B8">
      <w:pPr>
        <w:spacing w:after="0" w:line="240" w:lineRule="auto"/>
      </w:pPr>
      <w:r>
        <w:separator/>
      </w:r>
    </w:p>
  </w:footnote>
  <w:footnote w:type="continuationSeparator" w:id="0">
    <w:p w14:paraId="6214B88C" w14:textId="77777777" w:rsidR="008813C7" w:rsidRDefault="008813C7" w:rsidP="002975B8">
      <w:pPr>
        <w:spacing w:after="0" w:line="240" w:lineRule="auto"/>
      </w:pPr>
      <w:r>
        <w:continuationSeparator/>
      </w:r>
    </w:p>
  </w:footnote>
  <w:footnote w:id="1">
    <w:p w14:paraId="06F11EDF" w14:textId="2657A9F2" w:rsidR="008B0C18" w:rsidRPr="00673B34" w:rsidRDefault="008B0C18" w:rsidP="008B0C18">
      <w:pPr>
        <w:pStyle w:val="Textonotapie"/>
        <w:jc w:val="both"/>
        <w:rPr>
          <w:rFonts w:ascii="Arial Nova" w:hAnsi="Arial Nova" w:cs="Arial"/>
        </w:rPr>
      </w:pPr>
      <w:r w:rsidRPr="00673B34">
        <w:rPr>
          <w:rStyle w:val="Refdenotaalpie"/>
          <w:rFonts w:ascii="Arial Nova" w:hAnsi="Arial Nova" w:cs="Arial"/>
        </w:rPr>
        <w:footnoteRef/>
      </w:r>
      <w:r w:rsidRPr="00673B34">
        <w:rPr>
          <w:rFonts w:ascii="Arial Nova" w:hAnsi="Arial Nova" w:cs="Arial"/>
        </w:rPr>
        <w:t xml:space="preserve"> El cual hace referencia al “Manual de las Naciones Unidas sobre la prevención e investigación eficaces de las ejecuciones extralegales, arbitrarias o sumarias” de 1991, </w:t>
      </w:r>
      <w:r w:rsidR="00292D82">
        <w:rPr>
          <w:rFonts w:ascii="Arial Nova" w:hAnsi="Arial Nova" w:cs="Arial"/>
        </w:rPr>
        <w:t>que</w:t>
      </w:r>
      <w:r w:rsidRPr="00673B34">
        <w:rPr>
          <w:rFonts w:ascii="Arial Nova" w:hAnsi="Arial Nova" w:cs="Arial"/>
        </w:rPr>
        <w:t xml:space="preserve"> es complementario a los “Principios relativos a una eficaz prevención e investigación de las ejecuciones extralegales, arbitrarias o sumarias”</w:t>
      </w:r>
      <w:r w:rsidRPr="00673B34">
        <w:rPr>
          <w:rFonts w:ascii="Arial Nova" w:hAnsi="Arial Nova" w:cs="Arial"/>
          <w:i/>
        </w:rPr>
        <w:t xml:space="preserve"> </w:t>
      </w:r>
      <w:r w:rsidRPr="00673B34">
        <w:rPr>
          <w:rFonts w:ascii="Arial Nova" w:hAnsi="Arial Nova" w:cs="Arial"/>
        </w:rPr>
        <w:t>de 1989.</w:t>
      </w:r>
    </w:p>
  </w:footnote>
  <w:footnote w:id="2">
    <w:p w14:paraId="717B8FEA" w14:textId="5801B8A2" w:rsidR="00784623" w:rsidRPr="00673B34" w:rsidRDefault="00784623" w:rsidP="00784623">
      <w:pPr>
        <w:pStyle w:val="Textonotapie"/>
        <w:jc w:val="both"/>
        <w:rPr>
          <w:rFonts w:ascii="Arial Nova" w:hAnsi="Arial Nova"/>
        </w:rPr>
      </w:pPr>
      <w:r w:rsidRPr="00673B34">
        <w:rPr>
          <w:rStyle w:val="Refdenotaalpie"/>
          <w:rFonts w:ascii="Arial Nova" w:hAnsi="Arial Nova"/>
        </w:rPr>
        <w:footnoteRef/>
      </w:r>
      <w:r w:rsidRPr="00673B34">
        <w:rPr>
          <w:rFonts w:ascii="Arial Nova" w:hAnsi="Arial Nova"/>
        </w:rPr>
        <w:t xml:space="preserve"> </w:t>
      </w:r>
      <w:r w:rsidRPr="00673B34">
        <w:rPr>
          <w:rFonts w:ascii="Arial Nova" w:hAnsi="Arial Nova" w:cs="Arial"/>
        </w:rPr>
        <w:t>Un ejemplo que utilizó la Sala para sustentar esta afirmación fue traer a colación la relevancia normativa del Protocolo de Estambul.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391F" w14:textId="77777777" w:rsidR="002975B8" w:rsidRDefault="002975B8" w:rsidP="002519D4">
    <w:pPr>
      <w:pStyle w:val="Encabezado"/>
      <w:ind w:left="3828"/>
      <w:jc w:val="both"/>
      <w:rPr>
        <w:rFonts w:ascii="Arial Nova" w:hAnsi="Arial Nova" w:cs="Times New Roman"/>
        <w:b/>
        <w:bCs/>
        <w:color w:val="002060"/>
        <w:sz w:val="20"/>
        <w:szCs w:val="20"/>
      </w:rPr>
    </w:pPr>
    <w:r>
      <w:rPr>
        <w:rFonts w:ascii="Arial Nova" w:hAnsi="Arial Nova" w:cs="Times New Roman"/>
        <w:b/>
        <w:bCs/>
        <w:color w:val="002060"/>
        <w:sz w:val="20"/>
        <w:szCs w:val="20"/>
      </w:rPr>
      <w:t>SENTENCIAS RELEVANTES DE LA PRIMERA SALA</w:t>
    </w:r>
  </w:p>
  <w:p w14:paraId="7FDD9324" w14:textId="79A4121C" w:rsidR="00931299" w:rsidRDefault="002975B8" w:rsidP="00931299">
    <w:pPr>
      <w:pStyle w:val="Encabezado"/>
      <w:ind w:left="3828"/>
      <w:jc w:val="both"/>
      <w:rPr>
        <w:rFonts w:ascii="Arial Nova" w:hAnsi="Arial Nova" w:cs="Times New Roman"/>
        <w:b/>
        <w:bCs/>
        <w:color w:val="002060"/>
        <w:sz w:val="20"/>
        <w:szCs w:val="20"/>
      </w:rPr>
    </w:pPr>
    <w:r>
      <w:rPr>
        <w:rFonts w:ascii="Arial Nova" w:hAnsi="Arial Nova" w:cs="Times New Roman"/>
        <w:b/>
        <w:bCs/>
        <w:color w:val="002060"/>
        <w:sz w:val="20"/>
        <w:szCs w:val="20"/>
      </w:rPr>
      <w:t>AMPARO DIRECTO EN REVISIÓN 13/2021</w:t>
    </w:r>
  </w:p>
  <w:p w14:paraId="5B07C480" w14:textId="77777777" w:rsidR="002975B8" w:rsidRDefault="002975B8" w:rsidP="002519D4">
    <w:pPr>
      <w:pStyle w:val="Encabezado"/>
      <w:ind w:left="3828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86F5" w14:textId="77777777" w:rsidR="00075718" w:rsidRPr="0051268B" w:rsidRDefault="00075718" w:rsidP="00075718">
    <w:pPr>
      <w:shd w:val="clear" w:color="auto" w:fill="002060"/>
      <w:spacing w:after="0" w:line="240" w:lineRule="auto"/>
      <w:rPr>
        <w:rFonts w:ascii="Baskerville Old Face" w:hAnsi="Baskerville Old Face" w:cs="Times New Roman"/>
        <w:color w:val="002060"/>
      </w:rPr>
    </w:pPr>
    <w:bookmarkStart w:id="4" w:name="_Hlk133506313"/>
    <w:r w:rsidRPr="0051268B"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3AA51F2F" wp14:editId="6BAA2B95">
          <wp:simplePos x="0" y="0"/>
          <wp:positionH relativeFrom="column">
            <wp:posOffset>615315</wp:posOffset>
          </wp:positionH>
          <wp:positionV relativeFrom="paragraph">
            <wp:posOffset>92710</wp:posOffset>
          </wp:positionV>
          <wp:extent cx="975896" cy="895350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896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68B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56E757" wp14:editId="72F5EA51">
              <wp:simplePos x="0" y="0"/>
              <wp:positionH relativeFrom="column">
                <wp:posOffset>2158365</wp:posOffset>
              </wp:positionH>
              <wp:positionV relativeFrom="paragraph">
                <wp:posOffset>92710</wp:posOffset>
              </wp:positionV>
              <wp:extent cx="0" cy="828675"/>
              <wp:effectExtent l="0" t="0" r="38100" b="2857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6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3D210B" id="Conector recto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95pt,7.3pt" to="169.9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" strokecolor="white [3212]" strokeweight="1.5pt">
              <v:stroke joinstyle="miter"/>
            </v:line>
          </w:pict>
        </mc:Fallback>
      </mc:AlternateContent>
    </w:r>
    <w:r w:rsidRPr="0051268B">
      <w:rPr>
        <w:rFonts w:ascii="Baskerville Old Face" w:hAnsi="Baskerville Old Face" w:cs="Times New Roman"/>
        <w:color w:val="002060"/>
        <w:sz w:val="52"/>
        <w:szCs w:val="52"/>
      </w:rPr>
      <w:t xml:space="preserve">                      </w:t>
    </w:r>
    <w:bookmarkEnd w:id="4"/>
    <w:r w:rsidRPr="0051268B">
      <w:rPr>
        <w:rFonts w:ascii="Baskerville Old Face" w:hAnsi="Baskerville Old Face" w:cs="Times New Roman"/>
        <w:color w:val="002060"/>
        <w:sz w:val="52"/>
        <w:szCs w:val="52"/>
      </w:rPr>
      <w:t xml:space="preserve">       </w:t>
    </w:r>
  </w:p>
  <w:p w14:paraId="10253674" w14:textId="77777777" w:rsidR="00075718" w:rsidRDefault="00075718" w:rsidP="00075718">
    <w:pPr>
      <w:shd w:val="clear" w:color="auto" w:fill="002060"/>
      <w:spacing w:after="0" w:line="240" w:lineRule="auto"/>
      <w:rPr>
        <w:rFonts w:ascii="Baskerville Old Face" w:hAnsi="Baskerville Old Face" w:cs="Times New Roman"/>
        <w:b/>
        <w:bCs/>
        <w:color w:val="FFFFFF" w:themeColor="background1"/>
        <w:sz w:val="36"/>
        <w:szCs w:val="36"/>
      </w:rPr>
    </w:pPr>
    <w:r w:rsidRPr="0051268B">
      <w:rPr>
        <w:rFonts w:ascii="Baskerville Old Face" w:hAnsi="Baskerville Old Face" w:cs="Times New Roman"/>
        <w:b/>
        <w:bCs/>
        <w:color w:val="002060"/>
        <w:sz w:val="48"/>
        <w:szCs w:val="48"/>
      </w:rPr>
      <w:t xml:space="preserve">                               </w:t>
    </w:r>
    <w:r w:rsidRPr="00B64D08">
      <w:rPr>
        <w:rFonts w:ascii="Baskerville Old Face" w:hAnsi="Baskerville Old Face" w:cs="Times New Roman"/>
        <w:b/>
        <w:bCs/>
        <w:color w:val="FFFFFF" w:themeColor="background1"/>
        <w:sz w:val="48"/>
        <w:szCs w:val="48"/>
      </w:rPr>
      <w:t>S</w:t>
    </w:r>
    <w:r w:rsidRPr="00B64D08">
      <w:rPr>
        <w:rFonts w:ascii="Baskerville Old Face" w:hAnsi="Baskerville Old Face" w:cs="Times New Roman"/>
        <w:color w:val="FFFFFF" w:themeColor="background1"/>
        <w:sz w:val="36"/>
        <w:szCs w:val="36"/>
      </w:rPr>
      <w:t>ENTENCIAS</w:t>
    </w:r>
    <w:r w:rsidRPr="0051268B">
      <w:rPr>
        <w:rFonts w:ascii="Baskerville Old Face" w:hAnsi="Baskerville Old Face" w:cs="Times New Roman"/>
        <w:b/>
        <w:bCs/>
        <w:color w:val="002060"/>
        <w:sz w:val="40"/>
        <w:szCs w:val="40"/>
      </w:rPr>
      <w:t xml:space="preserve"> </w:t>
    </w:r>
    <w:r w:rsidRPr="00B64D08">
      <w:rPr>
        <w:rFonts w:ascii="Baskerville Old Face" w:hAnsi="Baskerville Old Face" w:cs="Times New Roman"/>
        <w:b/>
        <w:bCs/>
        <w:color w:val="FFFFFF" w:themeColor="background1"/>
        <w:sz w:val="48"/>
        <w:szCs w:val="48"/>
      </w:rPr>
      <w:t>R</w:t>
    </w:r>
    <w:r w:rsidRPr="00B64D08">
      <w:rPr>
        <w:rFonts w:ascii="Baskerville Old Face" w:hAnsi="Baskerville Old Face" w:cs="Times New Roman"/>
        <w:color w:val="FFFFFF" w:themeColor="background1"/>
        <w:sz w:val="36"/>
        <w:szCs w:val="36"/>
      </w:rPr>
      <w:t>ELEVANTES</w:t>
    </w:r>
  </w:p>
  <w:p w14:paraId="7EA6C49F" w14:textId="77777777" w:rsidR="00075718" w:rsidRPr="0051268B" w:rsidRDefault="00075718" w:rsidP="00075718">
    <w:pPr>
      <w:shd w:val="clear" w:color="auto" w:fill="002060"/>
      <w:spacing w:after="0" w:line="240" w:lineRule="auto"/>
      <w:rPr>
        <w:rFonts w:ascii="Baskerville Old Face" w:hAnsi="Baskerville Old Face" w:cs="Times New Roman"/>
        <w:color w:val="002060"/>
        <w:sz w:val="20"/>
        <w:szCs w:val="20"/>
      </w:rPr>
    </w:pPr>
    <w:r w:rsidRPr="0051268B">
      <w:rPr>
        <w:rFonts w:ascii="Baskerville Old Face" w:hAnsi="Baskerville Old Face" w:cs="Times New Roman"/>
        <w:b/>
        <w:bCs/>
        <w:color w:val="002060"/>
        <w:sz w:val="52"/>
        <w:szCs w:val="52"/>
      </w:rPr>
      <w:t xml:space="preserve">                                   </w:t>
    </w:r>
    <w:r w:rsidRPr="00B64D08">
      <w:rPr>
        <w:rFonts w:ascii="Baskerville Old Face" w:hAnsi="Baskerville Old Face" w:cs="Times New Roman"/>
        <w:b/>
        <w:bCs/>
        <w:color w:val="FFFFFF" w:themeColor="background1"/>
        <w:sz w:val="52"/>
        <w:szCs w:val="52"/>
      </w:rPr>
      <w:t>P</w:t>
    </w:r>
    <w:r w:rsidRPr="00B64D08">
      <w:rPr>
        <w:rFonts w:ascii="Baskerville Old Face" w:hAnsi="Baskerville Old Face" w:cs="Times New Roman"/>
        <w:color w:val="FFFFFF" w:themeColor="background1"/>
        <w:sz w:val="36"/>
        <w:szCs w:val="36"/>
      </w:rPr>
      <w:t>RIMERA</w:t>
    </w:r>
    <w:r w:rsidRPr="0051268B">
      <w:rPr>
        <w:rFonts w:ascii="Baskerville Old Face" w:hAnsi="Baskerville Old Face" w:cs="Times New Roman"/>
        <w:color w:val="002060"/>
        <w:sz w:val="48"/>
        <w:szCs w:val="48"/>
      </w:rPr>
      <w:t xml:space="preserve"> </w:t>
    </w:r>
    <w:r w:rsidRPr="00B64D08">
      <w:rPr>
        <w:rFonts w:ascii="Baskerville Old Face" w:hAnsi="Baskerville Old Face" w:cs="Times New Roman"/>
        <w:color w:val="FFFFFF" w:themeColor="background1"/>
        <w:sz w:val="52"/>
        <w:szCs w:val="52"/>
      </w:rPr>
      <w:t>S</w:t>
    </w:r>
    <w:r w:rsidRPr="00B64D08">
      <w:rPr>
        <w:rFonts w:ascii="Baskerville Old Face" w:hAnsi="Baskerville Old Face" w:cs="Times New Roman"/>
        <w:color w:val="FFFFFF" w:themeColor="background1"/>
        <w:sz w:val="36"/>
        <w:szCs w:val="36"/>
      </w:rPr>
      <w:t>ALA</w:t>
    </w:r>
    <w:r w:rsidRPr="0051268B">
      <w:rPr>
        <w:rFonts w:ascii="Baskerville Old Face" w:hAnsi="Baskerville Old Face" w:cs="Times New Roman"/>
        <w:color w:val="002060"/>
        <w:sz w:val="48"/>
        <w:szCs w:val="48"/>
      </w:rPr>
      <w:t xml:space="preserve">   </w:t>
    </w:r>
  </w:p>
  <w:p w14:paraId="5ED208B6" w14:textId="77777777" w:rsidR="00075718" w:rsidRPr="0051268B" w:rsidRDefault="00075718" w:rsidP="00075718">
    <w:pPr>
      <w:shd w:val="clear" w:color="auto" w:fill="002060"/>
      <w:spacing w:after="0" w:line="240" w:lineRule="auto"/>
      <w:rPr>
        <w:rFonts w:ascii="Baskerville Old Face" w:hAnsi="Baskerville Old Face" w:cs="Times New Roman"/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B8"/>
    <w:rsid w:val="000677DE"/>
    <w:rsid w:val="00067E76"/>
    <w:rsid w:val="00075718"/>
    <w:rsid w:val="00090B84"/>
    <w:rsid w:val="000B727F"/>
    <w:rsid w:val="000D6200"/>
    <w:rsid w:val="000D6F7E"/>
    <w:rsid w:val="00130C85"/>
    <w:rsid w:val="00165F78"/>
    <w:rsid w:val="00170902"/>
    <w:rsid w:val="00234C55"/>
    <w:rsid w:val="00240C80"/>
    <w:rsid w:val="00243946"/>
    <w:rsid w:val="002519D4"/>
    <w:rsid w:val="00292D82"/>
    <w:rsid w:val="002975B8"/>
    <w:rsid w:val="002C504F"/>
    <w:rsid w:val="002C76E6"/>
    <w:rsid w:val="003840C9"/>
    <w:rsid w:val="00393988"/>
    <w:rsid w:val="003C6A30"/>
    <w:rsid w:val="003D4D62"/>
    <w:rsid w:val="004118B5"/>
    <w:rsid w:val="004164D0"/>
    <w:rsid w:val="0042177D"/>
    <w:rsid w:val="00492FB8"/>
    <w:rsid w:val="00493BF1"/>
    <w:rsid w:val="005A4CA2"/>
    <w:rsid w:val="005F0111"/>
    <w:rsid w:val="005F2465"/>
    <w:rsid w:val="006029D9"/>
    <w:rsid w:val="00616A5E"/>
    <w:rsid w:val="00635841"/>
    <w:rsid w:val="00673B34"/>
    <w:rsid w:val="00724AB6"/>
    <w:rsid w:val="00784623"/>
    <w:rsid w:val="007C5078"/>
    <w:rsid w:val="007E2924"/>
    <w:rsid w:val="008027BE"/>
    <w:rsid w:val="00831010"/>
    <w:rsid w:val="00853475"/>
    <w:rsid w:val="008813C7"/>
    <w:rsid w:val="008B0C18"/>
    <w:rsid w:val="008C7042"/>
    <w:rsid w:val="00931299"/>
    <w:rsid w:val="009F34F3"/>
    <w:rsid w:val="00A16307"/>
    <w:rsid w:val="00A4640B"/>
    <w:rsid w:val="00A71C0C"/>
    <w:rsid w:val="00AD7DCE"/>
    <w:rsid w:val="00AF3E9D"/>
    <w:rsid w:val="00B02A53"/>
    <w:rsid w:val="00B122DD"/>
    <w:rsid w:val="00B5416F"/>
    <w:rsid w:val="00B648E2"/>
    <w:rsid w:val="00B719B4"/>
    <w:rsid w:val="00B93325"/>
    <w:rsid w:val="00B93E16"/>
    <w:rsid w:val="00BA4C5D"/>
    <w:rsid w:val="00BA591F"/>
    <w:rsid w:val="00BF21A6"/>
    <w:rsid w:val="00C108B5"/>
    <w:rsid w:val="00C269E8"/>
    <w:rsid w:val="00C30B39"/>
    <w:rsid w:val="00C66244"/>
    <w:rsid w:val="00CA2FE6"/>
    <w:rsid w:val="00D40ADD"/>
    <w:rsid w:val="00D76A30"/>
    <w:rsid w:val="00DD2FDB"/>
    <w:rsid w:val="00E07788"/>
    <w:rsid w:val="00E321F4"/>
    <w:rsid w:val="00E7618C"/>
    <w:rsid w:val="00E82B38"/>
    <w:rsid w:val="00E87D64"/>
    <w:rsid w:val="00E944B5"/>
    <w:rsid w:val="00EA5BD1"/>
    <w:rsid w:val="00EF0AB2"/>
    <w:rsid w:val="00EF29C3"/>
    <w:rsid w:val="00F25434"/>
    <w:rsid w:val="00F3235F"/>
    <w:rsid w:val="00F3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F23DB"/>
  <w15:chartTrackingRefBased/>
  <w15:docId w15:val="{FCA97AE8-6663-4FCE-90E8-38843EDE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B8"/>
  </w:style>
  <w:style w:type="paragraph" w:styleId="Piedepgina">
    <w:name w:val="footer"/>
    <w:basedOn w:val="Normal"/>
    <w:link w:val="PiedepginaCar"/>
    <w:uiPriority w:val="99"/>
    <w:unhideWhenUsed/>
    <w:rsid w:val="00297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B8"/>
  </w:style>
  <w:style w:type="character" w:customStyle="1" w:styleId="corte4fondoCar3">
    <w:name w:val="corte4 fondo Car3"/>
    <w:link w:val="corte4fondo"/>
    <w:locked/>
    <w:rsid w:val="002975B8"/>
    <w:rPr>
      <w:rFonts w:ascii="Arial" w:eastAsia="Times New Roman" w:hAnsi="Arial" w:cs="Times New Roman"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link w:val="corte4fondoCar3"/>
    <w:qFormat/>
    <w:rsid w:val="002975B8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30"/>
      <w:szCs w:val="20"/>
      <w:lang w:val="es-ES_tradnl" w:eastAsia="es-MX"/>
    </w:rPr>
  </w:style>
  <w:style w:type="table" w:styleId="Tablaconcuadrcula">
    <w:name w:val="Table Grid"/>
    <w:basedOn w:val="Tablanormal"/>
    <w:uiPriority w:val="39"/>
    <w:rsid w:val="00297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310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82B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2B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2B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B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B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9D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0C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0C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0C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5065-75D9-46D8-9FA6-AA639343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 GA</dc:creator>
  <cp:keywords/>
  <dc:description/>
  <cp:lastModifiedBy>BRUNO ALEJANDRO PATIÑO RENTERIA</cp:lastModifiedBy>
  <cp:revision>10</cp:revision>
  <cp:lastPrinted>2023-06-01T17:54:00Z</cp:lastPrinted>
  <dcterms:created xsi:type="dcterms:W3CDTF">2023-06-01T17:54:00Z</dcterms:created>
  <dcterms:modified xsi:type="dcterms:W3CDTF">2023-06-22T02:50:00Z</dcterms:modified>
</cp:coreProperties>
</file>