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CC0C6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CC0C6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7E9728" w14:textId="3FD3EAE0" w:rsidR="007045FF" w:rsidRDefault="008B3F8A"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SUSTITUTIVOS DE LA PENA DE PRISIÓN</w:t>
      </w:r>
      <w:r w:rsidR="00A94ABA">
        <w:rPr>
          <w:rFonts w:ascii="Arial Nova" w:hAnsi="Arial Nova" w:cs="Times New Roman"/>
          <w:b/>
          <w:bCs/>
          <w:smallCaps/>
          <w:color w:val="002060"/>
        </w:rPr>
        <w:t xml:space="preserve">. SU OTORGAMIENTO </w:t>
      </w:r>
      <w:r>
        <w:rPr>
          <w:rFonts w:ascii="Arial Nova" w:hAnsi="Arial Nova" w:cs="Times New Roman"/>
          <w:b/>
          <w:bCs/>
          <w:smallCaps/>
          <w:color w:val="002060"/>
        </w:rPr>
        <w:t>BAJO LA CONDICIÓN DE QUE QUIEN LO SOLICITE NO HAYA SIDO JUZGADO POR UN DELITO QUE AMERITE PRISIÓN PREVENTIVA OFICIOSA, ES CONSTITUCIONAL</w:t>
      </w:r>
    </w:p>
    <w:p w14:paraId="3606030A" w14:textId="77777777" w:rsidR="00CC0C68" w:rsidRPr="00B64D08" w:rsidRDefault="00CC0C68" w:rsidP="00CC0C6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1FAF5653" w14:textId="77777777" w:rsidR="00CC0C68" w:rsidRPr="00B64D08" w:rsidRDefault="00CC0C68" w:rsidP="00CC0C6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26D5A66" w14:textId="75C3615B" w:rsidR="00CC0C68" w:rsidRDefault="00CC0C68" w:rsidP="00CC0C68">
      <w:pPr>
        <w:shd w:val="clear" w:color="auto" w:fill="E7E6E6" w:themeFill="background2"/>
        <w:spacing w:after="0" w:line="240" w:lineRule="auto"/>
        <w:ind w:left="3402"/>
        <w:jc w:val="right"/>
        <w:rPr>
          <w:rFonts w:ascii="Arial Nova" w:hAnsi="Arial Nova" w:cs="Times New Roman"/>
          <w:smallCaps/>
          <w:color w:val="002060"/>
        </w:rPr>
      </w:pPr>
      <w:bookmarkStart w:id="0" w:name="_Hlk133506801"/>
      <w:bookmarkStart w:id="1" w:name="_Hlk133506760"/>
      <w:r w:rsidRPr="001624A8">
        <w:rPr>
          <w:rFonts w:ascii="Arial Nova" w:hAnsi="Arial Nova" w:cs="Times New Roman"/>
          <w:b/>
          <w:bCs/>
          <w:smallCaps/>
          <w:color w:val="002060"/>
        </w:rPr>
        <w:t>Ponente: Ministr</w:t>
      </w:r>
      <w:r>
        <w:rPr>
          <w:rFonts w:ascii="Arial Nova" w:hAnsi="Arial Nova" w:cs="Times New Roman"/>
          <w:b/>
          <w:bCs/>
          <w:smallCaps/>
          <w:color w:val="002060"/>
        </w:rPr>
        <w:t>o Jorge Mario Pardo Rebolledo</w:t>
      </w:r>
      <w:r w:rsidRPr="001624A8">
        <w:rPr>
          <w:rFonts w:ascii="Arial Nova" w:hAnsi="Arial Nova" w:cs="Times New Roman"/>
          <w:smallCaps/>
          <w:color w:val="002060"/>
        </w:rPr>
        <w:t>.</w:t>
      </w:r>
      <w:r>
        <w:rPr>
          <w:rFonts w:ascii="Arial Nova" w:hAnsi="Arial Nova" w:cs="Times New Roman"/>
          <w:smallCaps/>
          <w:color w:val="002060"/>
        </w:rPr>
        <w:t xml:space="preserve"> </w:t>
      </w:r>
    </w:p>
    <w:p w14:paraId="134F68B8" w14:textId="1DFDF359" w:rsidR="00CC0C68" w:rsidRDefault="00CC0C68" w:rsidP="00CC0C68">
      <w:pPr>
        <w:shd w:val="clear" w:color="auto" w:fill="E7E6E6" w:themeFill="background2"/>
        <w:spacing w:after="0" w:line="240" w:lineRule="auto"/>
        <w:ind w:left="3402"/>
        <w:jc w:val="right"/>
        <w:rPr>
          <w:rFonts w:ascii="Arial Nova" w:hAnsi="Arial Nova" w:cs="Times New Roman"/>
          <w:smallCaps/>
          <w:color w:val="002060"/>
        </w:rPr>
      </w:pPr>
      <w:r w:rsidRPr="001624A8">
        <w:rPr>
          <w:rFonts w:ascii="Arial Nova" w:hAnsi="Arial Nova" w:cs="Times New Roman"/>
          <w:smallCaps/>
          <w:color w:val="002060"/>
        </w:rPr>
        <w:t>Secretari</w:t>
      </w:r>
      <w:r>
        <w:rPr>
          <w:rFonts w:ascii="Arial Nova" w:hAnsi="Arial Nova" w:cs="Times New Roman"/>
          <w:smallCaps/>
          <w:color w:val="002060"/>
        </w:rPr>
        <w:t>o: Carlos Manuel Baráibar Tovar.</w:t>
      </w:r>
    </w:p>
    <w:p w14:paraId="1C0B4F90" w14:textId="637ADDC9" w:rsidR="001C01EC" w:rsidRPr="004C2D17" w:rsidRDefault="001C01EC" w:rsidP="00F849EB">
      <w:pPr>
        <w:shd w:val="clear" w:color="auto" w:fill="E7E6E6" w:themeFill="background2"/>
        <w:spacing w:after="0" w:line="240" w:lineRule="auto"/>
        <w:ind w:left="3402"/>
        <w:jc w:val="right"/>
        <w:rPr>
          <w:rFonts w:ascii="Arial Nova" w:hAnsi="Arial Nova" w:cs="Times New Roman"/>
          <w:smallCaps/>
        </w:rPr>
      </w:pPr>
      <w:bookmarkStart w:id="2" w:name="_Hlk133506816"/>
      <w:bookmarkEnd w:id="0"/>
      <w:r w:rsidRPr="001624A8">
        <w:rPr>
          <w:rFonts w:ascii="Arial Nova" w:hAnsi="Arial Nova" w:cs="Times New Roman"/>
          <w:smallCaps/>
          <w:color w:val="002060"/>
        </w:rPr>
        <w:t>Expediente: Amparo</w:t>
      </w:r>
      <w:r w:rsidR="008B3F8A">
        <w:rPr>
          <w:rFonts w:ascii="Arial Nova" w:hAnsi="Arial Nova" w:cs="Times New Roman"/>
          <w:smallCaps/>
          <w:color w:val="002060"/>
        </w:rPr>
        <w:t xml:space="preserve"> Directo</w:t>
      </w:r>
      <w:r w:rsidR="00F849EB">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CD5BC9">
        <w:rPr>
          <w:rFonts w:ascii="Arial Nova" w:hAnsi="Arial Nova" w:cs="Times New Roman"/>
          <w:smallCaps/>
          <w:color w:val="002060"/>
        </w:rPr>
        <w:t xml:space="preserve"> </w:t>
      </w:r>
      <w:r w:rsidR="008B3F8A">
        <w:rPr>
          <w:rFonts w:ascii="Arial Nova" w:hAnsi="Arial Nova" w:cs="Times New Roman"/>
          <w:smallCaps/>
          <w:color w:val="002060"/>
        </w:rPr>
        <w:t>5471</w:t>
      </w:r>
      <w:r w:rsidR="007045FF">
        <w:rPr>
          <w:rFonts w:ascii="Arial Nova" w:hAnsi="Arial Nova" w:cs="Times New Roman"/>
          <w:smallCaps/>
          <w:color w:val="002060"/>
        </w:rPr>
        <w:t>/</w:t>
      </w:r>
      <w:r w:rsidRPr="001624A8">
        <w:rPr>
          <w:rFonts w:ascii="Arial Nova" w:hAnsi="Arial Nova" w:cs="Times New Roman"/>
          <w:smallCaps/>
          <w:color w:val="002060"/>
        </w:rPr>
        <w:t>202</w:t>
      </w:r>
      <w:r w:rsidR="007045FF">
        <w:rPr>
          <w:rFonts w:ascii="Arial Nova" w:hAnsi="Arial Nova" w:cs="Times New Roman"/>
          <w:smallCaps/>
          <w:color w:val="002060"/>
        </w:rPr>
        <w:t>2</w:t>
      </w:r>
      <w:r w:rsidRPr="004C2D17">
        <w:rPr>
          <w:rFonts w:ascii="Arial Nova" w:hAnsi="Arial Nova" w:cs="Times New Roman"/>
          <w:smallCaps/>
        </w:rPr>
        <w:t>.</w:t>
      </w:r>
      <w:bookmarkEnd w:id="1"/>
      <w:bookmarkEnd w:id="2"/>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4BEAA2FC" w:rsidR="00B65914" w:rsidRDefault="00B323DA" w:rsidP="00B65914">
            <w:pPr>
              <w:shd w:val="clear" w:color="auto" w:fill="FFFFFF" w:themeFill="background1"/>
              <w:spacing w:line="276" w:lineRule="auto"/>
              <w:rPr>
                <w:rFonts w:ascii="Arial Nova" w:hAnsi="Arial Nova" w:cs="Times New Roman"/>
                <w:b/>
                <w:bCs/>
                <w:smallCaps/>
                <w:color w:val="000F2E"/>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37B6BB3" w14:textId="30DF76D0" w:rsidR="008B3F8A" w:rsidRDefault="008B3F8A" w:rsidP="00B65914">
            <w:pPr>
              <w:shd w:val="clear" w:color="auto" w:fill="FFFFFF" w:themeFill="background1"/>
              <w:spacing w:line="276" w:lineRule="auto"/>
              <w:rPr>
                <w:rFonts w:ascii="Arial Nova" w:hAnsi="Arial Nova" w:cs="Times New Roman"/>
                <w:b/>
                <w:bCs/>
                <w:smallCaps/>
                <w:color w:val="000F2E"/>
                <w:sz w:val="24"/>
                <w:szCs w:val="24"/>
              </w:rPr>
            </w:pPr>
          </w:p>
          <w:p w14:paraId="64F408E6" w14:textId="20E691FD" w:rsidR="008B3F8A" w:rsidRDefault="00A94ABA" w:rsidP="008B3F8A">
            <w:pPr>
              <w:tabs>
                <w:tab w:val="left" w:pos="426"/>
              </w:tabs>
              <w:jc w:val="both"/>
              <w:rPr>
                <w:rFonts w:ascii="Arial Nova" w:hAnsi="Arial Nova" w:cs="Times New Roman"/>
              </w:rPr>
            </w:pPr>
            <w:r>
              <w:rPr>
                <w:rFonts w:ascii="Arial Nova" w:hAnsi="Arial Nova" w:cs="Times New Roman"/>
              </w:rPr>
              <w:t xml:space="preserve">Una persona que fue </w:t>
            </w:r>
            <w:r w:rsidR="008B3F8A" w:rsidRPr="008B3F8A">
              <w:rPr>
                <w:rFonts w:ascii="Arial Nova" w:hAnsi="Arial Nova" w:cs="Times New Roman"/>
              </w:rPr>
              <w:t>condenad</w:t>
            </w:r>
            <w:r>
              <w:rPr>
                <w:rFonts w:ascii="Arial Nova" w:hAnsi="Arial Nova" w:cs="Times New Roman"/>
              </w:rPr>
              <w:t>a</w:t>
            </w:r>
            <w:r w:rsidR="008B3F8A" w:rsidRPr="008B3F8A">
              <w:rPr>
                <w:rFonts w:ascii="Arial Nova" w:hAnsi="Arial Nova" w:cs="Times New Roman"/>
              </w:rPr>
              <w:t xml:space="preserve"> por los delitos de violación equiparada y atentados al pudor, previstos y sancionados en los artículos 115 y 120 del Código Penal del Estado de Aguascalientes</w:t>
            </w:r>
            <w:r>
              <w:rPr>
                <w:rFonts w:ascii="Arial Nova" w:hAnsi="Arial Nova" w:cs="Times New Roman"/>
              </w:rPr>
              <w:t>, y a quien le fueron negados l</w:t>
            </w:r>
            <w:r w:rsidR="008B3F8A" w:rsidRPr="008B3F8A">
              <w:rPr>
                <w:rFonts w:ascii="Arial Nova" w:hAnsi="Arial Nova" w:cs="Times New Roman"/>
              </w:rPr>
              <w:t>os sustitutivos de prisión previstos en el artículo 43 del mismo código</w:t>
            </w:r>
            <w:r>
              <w:rPr>
                <w:rFonts w:ascii="Arial Nova" w:hAnsi="Arial Nova" w:cs="Times New Roman"/>
              </w:rPr>
              <w:t xml:space="preserve">, </w:t>
            </w:r>
            <w:r w:rsidRPr="00A94ABA">
              <w:rPr>
                <w:rFonts w:ascii="Arial Nova" w:hAnsi="Arial Nova" w:cs="Times New Roman"/>
              </w:rPr>
              <w:t xml:space="preserve">al </w:t>
            </w:r>
            <w:r>
              <w:rPr>
                <w:rFonts w:ascii="Arial Nova" w:hAnsi="Arial Nova" w:cs="Times New Roman"/>
              </w:rPr>
              <w:t xml:space="preserve">tratarse de delitos </w:t>
            </w:r>
            <w:r w:rsidRPr="00A94ABA">
              <w:rPr>
                <w:rFonts w:ascii="Arial Nova" w:hAnsi="Arial Nova" w:cs="Times New Roman"/>
              </w:rPr>
              <w:t>considerado</w:t>
            </w:r>
            <w:r>
              <w:rPr>
                <w:rFonts w:ascii="Arial Nova" w:hAnsi="Arial Nova" w:cs="Times New Roman"/>
              </w:rPr>
              <w:t>s</w:t>
            </w:r>
            <w:r w:rsidRPr="00A94ABA">
              <w:rPr>
                <w:rFonts w:ascii="Arial Nova" w:hAnsi="Arial Nova" w:cs="Times New Roman"/>
              </w:rPr>
              <w:t xml:space="preserve"> de prisión preventiva oficiosa</w:t>
            </w:r>
            <w:r>
              <w:rPr>
                <w:rFonts w:ascii="Arial Nova" w:hAnsi="Arial Nova" w:cs="Times New Roman"/>
              </w:rPr>
              <w:t xml:space="preserve">, </w:t>
            </w:r>
            <w:r w:rsidR="00E463A3">
              <w:rPr>
                <w:rFonts w:ascii="Arial Nova" w:hAnsi="Arial Nova" w:cs="Times New Roman"/>
              </w:rPr>
              <w:t>interpuso</w:t>
            </w:r>
            <w:r>
              <w:rPr>
                <w:rFonts w:ascii="Arial Nova" w:hAnsi="Arial Nova" w:cs="Times New Roman"/>
              </w:rPr>
              <w:t xml:space="preserve"> </w:t>
            </w:r>
            <w:r w:rsidR="00E463A3">
              <w:rPr>
                <w:rFonts w:ascii="Arial Nova" w:hAnsi="Arial Nova" w:cs="Times New Roman"/>
              </w:rPr>
              <w:t xml:space="preserve">un recurso de apelación y posteriormente promovió un </w:t>
            </w:r>
            <w:r>
              <w:rPr>
                <w:rFonts w:ascii="Arial Nova" w:hAnsi="Arial Nova" w:cs="Times New Roman"/>
              </w:rPr>
              <w:t xml:space="preserve">juicio de amparo </w:t>
            </w:r>
            <w:r w:rsidR="00E463A3">
              <w:rPr>
                <w:rFonts w:ascii="Arial Nova" w:hAnsi="Arial Nova" w:cs="Times New Roman"/>
              </w:rPr>
              <w:t xml:space="preserve">directo </w:t>
            </w:r>
            <w:r>
              <w:rPr>
                <w:rFonts w:ascii="Arial Nova" w:hAnsi="Arial Nova" w:cs="Times New Roman"/>
              </w:rPr>
              <w:t xml:space="preserve">en el que reclamó la </w:t>
            </w:r>
            <w:r w:rsidR="00E463A3">
              <w:rPr>
                <w:rFonts w:ascii="Arial Nova" w:hAnsi="Arial Nova" w:cs="Times New Roman"/>
              </w:rPr>
              <w:t>in</w:t>
            </w:r>
            <w:r>
              <w:rPr>
                <w:rFonts w:ascii="Arial Nova" w:hAnsi="Arial Nova" w:cs="Times New Roman"/>
              </w:rPr>
              <w:t xml:space="preserve">constitucionalidad del </w:t>
            </w:r>
            <w:r w:rsidR="00E463A3">
              <w:rPr>
                <w:rFonts w:ascii="Arial Nova" w:hAnsi="Arial Nova" w:cs="Times New Roman"/>
              </w:rPr>
              <w:t>precepto último referido.</w:t>
            </w:r>
          </w:p>
          <w:p w14:paraId="2AD44E84" w14:textId="2D57199B" w:rsidR="008B3F8A" w:rsidRDefault="008B3F8A" w:rsidP="008B3F8A">
            <w:pPr>
              <w:tabs>
                <w:tab w:val="left" w:pos="426"/>
              </w:tabs>
              <w:jc w:val="both"/>
              <w:rPr>
                <w:rFonts w:ascii="Arial Nova" w:hAnsi="Arial Nova" w:cs="Times New Roman"/>
              </w:rPr>
            </w:pPr>
          </w:p>
          <w:p w14:paraId="017E239C" w14:textId="06EC39C7" w:rsidR="00E463A3" w:rsidRDefault="00E463A3" w:rsidP="008B3F8A">
            <w:pPr>
              <w:tabs>
                <w:tab w:val="left" w:pos="426"/>
              </w:tabs>
              <w:jc w:val="both"/>
              <w:rPr>
                <w:rFonts w:ascii="Arial Nova" w:hAnsi="Arial Nova" w:cs="Times New Roman"/>
              </w:rPr>
            </w:pPr>
            <w:r>
              <w:rPr>
                <w:rFonts w:ascii="Arial Nova" w:hAnsi="Arial Nova" w:cs="Times New Roman"/>
              </w:rPr>
              <w:t xml:space="preserve">El Tribunal Colegiado que conoció del asunto negó la protección constitucional solicitada, decisión contra la cual el quejoso presentó un recurso de revisión </w:t>
            </w:r>
            <w:r w:rsidR="006D3C29">
              <w:rPr>
                <w:rFonts w:ascii="Arial Nova" w:hAnsi="Arial Nova" w:cs="Times New Roman"/>
              </w:rPr>
              <w:t>mismo que fue remitido a este</w:t>
            </w:r>
            <w:r>
              <w:rPr>
                <w:rFonts w:ascii="Arial Nova" w:hAnsi="Arial Nova" w:cs="Times New Roman"/>
              </w:rPr>
              <w:t xml:space="preserve"> Alto Tribunal</w:t>
            </w:r>
            <w:r w:rsidR="006D3C29">
              <w:rPr>
                <w:rFonts w:ascii="Arial Nova" w:hAnsi="Arial Nova" w:cs="Times New Roman"/>
              </w:rPr>
              <w:t xml:space="preserve"> para su resolución</w:t>
            </w:r>
            <w:r>
              <w:rPr>
                <w:rFonts w:ascii="Arial Nova" w:hAnsi="Arial Nova" w:cs="Times New Roman"/>
              </w:rPr>
              <w:t>.</w:t>
            </w:r>
          </w:p>
          <w:p w14:paraId="24280046" w14:textId="77777777" w:rsidR="00E463A3" w:rsidRDefault="00E463A3" w:rsidP="008B3F8A">
            <w:pPr>
              <w:tabs>
                <w:tab w:val="left" w:pos="426"/>
              </w:tabs>
              <w:jc w:val="both"/>
              <w:rPr>
                <w:rFonts w:ascii="Arial Nova" w:hAnsi="Arial Nova" w:cs="Times New Roman"/>
              </w:rPr>
            </w:pPr>
          </w:p>
          <w:p w14:paraId="324FFF65" w14:textId="3DEFBD7B" w:rsidR="00E463A3" w:rsidRDefault="00E463A3" w:rsidP="008B3F8A">
            <w:pPr>
              <w:jc w:val="both"/>
              <w:rPr>
                <w:rFonts w:ascii="Arial Nova" w:hAnsi="Arial Nova" w:cs="Times New Roman"/>
              </w:rPr>
            </w:pPr>
            <w:r>
              <w:rPr>
                <w:rFonts w:ascii="Arial Nova" w:hAnsi="Arial Nova" w:cs="Times New Roman"/>
              </w:rPr>
              <w:t>En su fallo, l</w:t>
            </w:r>
            <w:r w:rsidR="008B3F8A" w:rsidRPr="008B3F8A">
              <w:rPr>
                <w:rFonts w:ascii="Arial Nova" w:hAnsi="Arial Nova" w:cs="Times New Roman"/>
              </w:rPr>
              <w:t xml:space="preserve">a Primera Sala reconoció la constitucionalidad </w:t>
            </w:r>
            <w:r>
              <w:rPr>
                <w:rFonts w:ascii="Arial Nova" w:hAnsi="Arial Nova" w:cs="Times New Roman"/>
              </w:rPr>
              <w:t>del precepto impugnado</w:t>
            </w:r>
            <w:r w:rsidR="008B3F8A" w:rsidRPr="008B3F8A">
              <w:rPr>
                <w:rFonts w:ascii="Arial Nova" w:hAnsi="Arial Nova" w:cs="Times New Roman"/>
              </w:rPr>
              <w:t xml:space="preserve"> que condiciona la concesión de sustitutivos de la pena de prisión a que las personas que lo soliciten no hayan sido condenadas por delitos que ameriten prisión preventiva oficiosa de acuerdo con el Código Nacional de Procedimientos Penales.</w:t>
            </w:r>
            <w:r>
              <w:rPr>
                <w:rFonts w:ascii="Arial Nova" w:hAnsi="Arial Nova" w:cs="Times New Roman"/>
              </w:rPr>
              <w:t xml:space="preserve"> </w:t>
            </w:r>
          </w:p>
          <w:p w14:paraId="2A43727E" w14:textId="77777777" w:rsidR="00E463A3" w:rsidRDefault="00E463A3" w:rsidP="008B3F8A">
            <w:pPr>
              <w:jc w:val="both"/>
              <w:rPr>
                <w:rFonts w:ascii="Arial Nova" w:hAnsi="Arial Nova" w:cs="Times New Roman"/>
              </w:rPr>
            </w:pPr>
          </w:p>
          <w:p w14:paraId="58C967AA" w14:textId="6E8CCA8D" w:rsidR="008B3F8A" w:rsidRPr="008B3F8A" w:rsidRDefault="00E463A3" w:rsidP="008B3F8A">
            <w:pPr>
              <w:jc w:val="both"/>
              <w:rPr>
                <w:rFonts w:ascii="Arial Nova" w:hAnsi="Arial Nova" w:cs="Times New Roman"/>
              </w:rPr>
            </w:pPr>
            <w:r>
              <w:rPr>
                <w:rFonts w:ascii="Arial Nova" w:hAnsi="Arial Nova" w:cs="Times New Roman"/>
              </w:rPr>
              <w:t xml:space="preserve">Lo anterior, tras concluir que tal restricción </w:t>
            </w:r>
            <w:r w:rsidRPr="00E463A3">
              <w:rPr>
                <w:rFonts w:ascii="Arial Nova" w:hAnsi="Arial Nova" w:cs="Times New Roman"/>
              </w:rPr>
              <w:t>atiende a la política criminal establecida por el legislador y es acorde con el principio de igualdad, así como el régimen de reinserción social.</w:t>
            </w:r>
          </w:p>
          <w:p w14:paraId="419AB921" w14:textId="77777777" w:rsidR="008B3F8A" w:rsidRPr="008B3F8A" w:rsidRDefault="008B3F8A" w:rsidP="008B3F8A">
            <w:pPr>
              <w:jc w:val="both"/>
              <w:rPr>
                <w:rFonts w:ascii="Arial Nova" w:hAnsi="Arial Nova" w:cs="Times New Roman"/>
              </w:rPr>
            </w:pPr>
          </w:p>
          <w:p w14:paraId="068A96B6" w14:textId="49F717DD" w:rsidR="00C57BE9" w:rsidRPr="00650F1C" w:rsidRDefault="00C57BE9" w:rsidP="008B3F8A">
            <w:pPr>
              <w:jc w:val="both"/>
              <w:rPr>
                <w:rFonts w:ascii="Times New Roman" w:hAnsi="Times New Roman" w:cs="Times New Roman"/>
                <w:sz w:val="20"/>
                <w:szCs w:val="20"/>
              </w:rPr>
            </w:pPr>
          </w:p>
        </w:tc>
      </w:tr>
    </w:tbl>
    <w:p w14:paraId="05324B5C" w14:textId="1AE18318" w:rsidR="00996FA4" w:rsidRDefault="00996FA4" w:rsidP="000018A2">
      <w:pPr>
        <w:spacing w:after="0" w:line="240" w:lineRule="auto"/>
        <w:jc w:val="both"/>
        <w:rPr>
          <w:rFonts w:ascii="Times New Roman" w:hAnsi="Times New Roman" w:cs="Times New Roman"/>
          <w:sz w:val="24"/>
          <w:szCs w:val="24"/>
        </w:rPr>
      </w:pPr>
    </w:p>
    <w:p w14:paraId="32573284" w14:textId="31CDD717" w:rsidR="00C57BE9" w:rsidRDefault="00C57BE9" w:rsidP="000018A2">
      <w:pPr>
        <w:spacing w:after="0" w:line="240" w:lineRule="auto"/>
        <w:jc w:val="both"/>
        <w:rPr>
          <w:rFonts w:ascii="Times New Roman" w:hAnsi="Times New Roman" w:cs="Times New Roman"/>
          <w:sz w:val="24"/>
          <w:szCs w:val="24"/>
        </w:rPr>
      </w:pPr>
    </w:p>
    <w:p w14:paraId="40C1677F" w14:textId="03DBBCC0" w:rsidR="00E463A3" w:rsidRDefault="00E463A3" w:rsidP="000018A2">
      <w:pPr>
        <w:spacing w:after="0" w:line="240" w:lineRule="auto"/>
        <w:jc w:val="both"/>
        <w:rPr>
          <w:rFonts w:ascii="Times New Roman" w:hAnsi="Times New Roman" w:cs="Times New Roman"/>
          <w:sz w:val="24"/>
          <w:szCs w:val="24"/>
        </w:rPr>
      </w:pPr>
    </w:p>
    <w:p w14:paraId="1FE4C634" w14:textId="475D092A" w:rsidR="00E463A3" w:rsidRDefault="00E463A3" w:rsidP="000018A2">
      <w:pPr>
        <w:spacing w:after="0" w:line="240" w:lineRule="auto"/>
        <w:jc w:val="both"/>
        <w:rPr>
          <w:rFonts w:ascii="Times New Roman" w:hAnsi="Times New Roman" w:cs="Times New Roman"/>
          <w:sz w:val="24"/>
          <w:szCs w:val="24"/>
        </w:rPr>
      </w:pPr>
    </w:p>
    <w:p w14:paraId="57356946" w14:textId="35DAB65F" w:rsidR="00E463A3" w:rsidRDefault="00E463A3" w:rsidP="000018A2">
      <w:pPr>
        <w:spacing w:after="0" w:line="240" w:lineRule="auto"/>
        <w:jc w:val="both"/>
        <w:rPr>
          <w:rFonts w:ascii="Times New Roman" w:hAnsi="Times New Roman" w:cs="Times New Roman"/>
          <w:sz w:val="24"/>
          <w:szCs w:val="24"/>
        </w:rPr>
      </w:pPr>
    </w:p>
    <w:p w14:paraId="229331A8" w14:textId="002A6AE1" w:rsidR="00E463A3" w:rsidRDefault="00E463A3" w:rsidP="000018A2">
      <w:pPr>
        <w:spacing w:after="0" w:line="240" w:lineRule="auto"/>
        <w:jc w:val="both"/>
        <w:rPr>
          <w:rFonts w:ascii="Times New Roman" w:hAnsi="Times New Roman" w:cs="Times New Roman"/>
          <w:sz w:val="24"/>
          <w:szCs w:val="24"/>
        </w:rPr>
      </w:pPr>
    </w:p>
    <w:p w14:paraId="7652F06F" w14:textId="3922FDA4" w:rsidR="00E463A3" w:rsidRDefault="00E463A3" w:rsidP="000018A2">
      <w:pPr>
        <w:spacing w:after="0" w:line="240" w:lineRule="auto"/>
        <w:jc w:val="both"/>
        <w:rPr>
          <w:rFonts w:ascii="Times New Roman" w:hAnsi="Times New Roman" w:cs="Times New Roman"/>
          <w:sz w:val="24"/>
          <w:szCs w:val="24"/>
        </w:rPr>
      </w:pPr>
    </w:p>
    <w:p w14:paraId="0E6951B3" w14:textId="77777777" w:rsidR="00E463A3" w:rsidRDefault="00E463A3"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6D3C29">
      <w:pPr>
        <w:spacing w:after="0" w:line="240" w:lineRule="auto"/>
        <w:jc w:val="both"/>
        <w:rPr>
          <w:rFonts w:ascii="Arial Nova" w:hAnsi="Arial Nova" w:cs="Times New Roman"/>
          <w:sz w:val="24"/>
          <w:szCs w:val="24"/>
        </w:rPr>
      </w:pPr>
    </w:p>
    <w:p w14:paraId="18FC344D" w14:textId="275B4A6F" w:rsidR="006D3C29" w:rsidRDefault="0075201D" w:rsidP="006D3C29">
      <w:pPr>
        <w:tabs>
          <w:tab w:val="left" w:pos="426"/>
        </w:tabs>
        <w:spacing w:after="0" w:line="240" w:lineRule="auto"/>
        <w:ind w:right="49"/>
        <w:jc w:val="both"/>
        <w:rPr>
          <w:rFonts w:ascii="Arial Nova" w:hAnsi="Arial Nova"/>
          <w:sz w:val="24"/>
          <w:szCs w:val="24"/>
        </w:rPr>
      </w:pPr>
      <w:r w:rsidRPr="0075201D">
        <w:rPr>
          <w:rFonts w:ascii="Arial Nova" w:hAnsi="Arial Nova"/>
          <w:sz w:val="24"/>
          <w:szCs w:val="24"/>
        </w:rPr>
        <w:t xml:space="preserve">En el caso, </w:t>
      </w:r>
      <w:r w:rsidR="008B3F8A">
        <w:rPr>
          <w:rFonts w:ascii="Arial Nova" w:hAnsi="Arial Nova"/>
          <w:sz w:val="24"/>
          <w:szCs w:val="24"/>
        </w:rPr>
        <w:t>el aquí recurrente</w:t>
      </w:r>
      <w:r w:rsidR="008B3F8A" w:rsidRPr="008B3F8A">
        <w:rPr>
          <w:rFonts w:ascii="Arial Nova" w:hAnsi="Arial Nova"/>
          <w:sz w:val="24"/>
          <w:szCs w:val="24"/>
        </w:rPr>
        <w:t xml:space="preserve"> fue condenado por los delitos de violación equiparada y atentados al pudor, previstos y sancionados en los artículos 115 y 120 del Código Penal del Estado de Aguascalientes. A su vez, se le negaron los sustitutivos de prisión previstos en el artículo 43 del mismo código.</w:t>
      </w:r>
    </w:p>
    <w:p w14:paraId="407738B5" w14:textId="77777777" w:rsidR="006D3C29" w:rsidRDefault="006D3C29" w:rsidP="00CC0C68">
      <w:pPr>
        <w:tabs>
          <w:tab w:val="left" w:pos="426"/>
        </w:tabs>
        <w:spacing w:after="0" w:line="240" w:lineRule="auto"/>
        <w:ind w:right="49"/>
        <w:jc w:val="both"/>
        <w:rPr>
          <w:rFonts w:ascii="Arial Nova" w:hAnsi="Arial Nova"/>
          <w:sz w:val="24"/>
          <w:szCs w:val="24"/>
        </w:rPr>
      </w:pPr>
    </w:p>
    <w:p w14:paraId="76EE13D1" w14:textId="1B48FF6C" w:rsidR="006D3C29" w:rsidRDefault="006D3C29" w:rsidP="00CC0C68">
      <w:pPr>
        <w:tabs>
          <w:tab w:val="left" w:pos="426"/>
        </w:tabs>
        <w:spacing w:after="0" w:line="240" w:lineRule="auto"/>
        <w:ind w:right="49"/>
        <w:jc w:val="both"/>
        <w:rPr>
          <w:rFonts w:ascii="Arial Nova" w:hAnsi="Arial Nova"/>
          <w:sz w:val="24"/>
          <w:szCs w:val="24"/>
        </w:rPr>
      </w:pPr>
      <w:r>
        <w:rPr>
          <w:rFonts w:ascii="Arial Nova" w:hAnsi="Arial Nova"/>
          <w:sz w:val="24"/>
          <w:szCs w:val="24"/>
        </w:rPr>
        <w:t xml:space="preserve">Esta decisión fue confirmada por el tribunal de apelación, resolución contra la cual el sentenciado promovió un juicio de amparo directo en el que alegó la inconstitucionalidad del </w:t>
      </w:r>
      <w:r w:rsidRPr="006D3C29">
        <w:rPr>
          <w:rFonts w:ascii="Arial Nova" w:hAnsi="Arial Nova"/>
          <w:sz w:val="24"/>
          <w:szCs w:val="24"/>
        </w:rPr>
        <w:t>artículo 43, primer párrafo del Código Penal para el Estado de Aguascalientes</w:t>
      </w:r>
      <w:r>
        <w:rPr>
          <w:rFonts w:ascii="Arial Nova" w:hAnsi="Arial Nova"/>
          <w:sz w:val="24"/>
          <w:szCs w:val="24"/>
        </w:rPr>
        <w:t>.</w:t>
      </w:r>
    </w:p>
    <w:p w14:paraId="34DCA691" w14:textId="77777777" w:rsidR="006D3C29" w:rsidRDefault="006D3C29" w:rsidP="00CC0C68">
      <w:pPr>
        <w:tabs>
          <w:tab w:val="left" w:pos="426"/>
        </w:tabs>
        <w:spacing w:after="0" w:line="240" w:lineRule="auto"/>
        <w:ind w:right="49"/>
        <w:jc w:val="both"/>
        <w:rPr>
          <w:rFonts w:ascii="Arial Nova" w:hAnsi="Arial Nova"/>
          <w:sz w:val="24"/>
          <w:szCs w:val="24"/>
        </w:rPr>
      </w:pPr>
    </w:p>
    <w:p w14:paraId="23EC55A5" w14:textId="5A7B83C3" w:rsidR="006D3C29" w:rsidRDefault="006D3C29" w:rsidP="00CC0C68">
      <w:pPr>
        <w:tabs>
          <w:tab w:val="left" w:pos="426"/>
        </w:tabs>
        <w:spacing w:after="0" w:line="240" w:lineRule="auto"/>
        <w:ind w:right="49"/>
        <w:jc w:val="both"/>
        <w:rPr>
          <w:rFonts w:ascii="Arial Nova" w:hAnsi="Arial Nova"/>
          <w:sz w:val="24"/>
          <w:szCs w:val="24"/>
        </w:rPr>
      </w:pPr>
      <w:r>
        <w:rPr>
          <w:rFonts w:ascii="Arial Nova" w:hAnsi="Arial Nova"/>
          <w:sz w:val="24"/>
          <w:szCs w:val="24"/>
        </w:rPr>
        <w:t xml:space="preserve">El Tribunal Colegiado del conocimiento negó la protección constitucional solicitada tras concluir que </w:t>
      </w:r>
      <w:r w:rsidRPr="006D3C29">
        <w:rPr>
          <w:rFonts w:ascii="Arial Nova" w:hAnsi="Arial Nova"/>
          <w:sz w:val="24"/>
          <w:szCs w:val="24"/>
        </w:rPr>
        <w:t>la norma es válida en tanto los sustitutivos de prisión y los beneficios preliberacionales no son derechos fundamentales</w:t>
      </w:r>
      <w:r>
        <w:rPr>
          <w:rFonts w:ascii="Arial Nova" w:hAnsi="Arial Nova"/>
          <w:sz w:val="24"/>
          <w:szCs w:val="24"/>
        </w:rPr>
        <w:t>.</w:t>
      </w:r>
    </w:p>
    <w:p w14:paraId="436DFC5B" w14:textId="159DE52F" w:rsidR="006D3C29" w:rsidRDefault="006D3C29" w:rsidP="00CC0C68">
      <w:pPr>
        <w:tabs>
          <w:tab w:val="left" w:pos="426"/>
        </w:tabs>
        <w:spacing w:after="0" w:line="240" w:lineRule="auto"/>
        <w:ind w:right="49"/>
        <w:jc w:val="both"/>
        <w:rPr>
          <w:rFonts w:ascii="Arial Nova" w:hAnsi="Arial Nova"/>
          <w:sz w:val="24"/>
          <w:szCs w:val="24"/>
        </w:rPr>
      </w:pPr>
    </w:p>
    <w:p w14:paraId="656E01C1" w14:textId="74C8063C" w:rsidR="006D3C29" w:rsidRDefault="006D3C29" w:rsidP="00CC0C68">
      <w:pPr>
        <w:tabs>
          <w:tab w:val="left" w:pos="426"/>
        </w:tabs>
        <w:spacing w:after="0" w:line="240" w:lineRule="auto"/>
        <w:ind w:right="49"/>
        <w:jc w:val="both"/>
        <w:rPr>
          <w:rFonts w:ascii="Arial Nova" w:hAnsi="Arial Nova"/>
          <w:sz w:val="24"/>
          <w:szCs w:val="24"/>
        </w:rPr>
      </w:pPr>
      <w:r>
        <w:rPr>
          <w:rFonts w:ascii="Arial Nova" w:hAnsi="Arial Nova"/>
          <w:sz w:val="24"/>
          <w:szCs w:val="24"/>
        </w:rPr>
        <w:t xml:space="preserve">En desacuerdo con lo anterior, el quejoso interpuso un recurso de revisión, </w:t>
      </w:r>
      <w:r w:rsidRPr="006D3C29">
        <w:rPr>
          <w:rFonts w:ascii="Arial Nova" w:hAnsi="Arial Nova"/>
          <w:sz w:val="24"/>
          <w:szCs w:val="24"/>
        </w:rPr>
        <w:t>mismo que fue remitido a este Alto Tribunal para su resolución.</w:t>
      </w:r>
    </w:p>
    <w:p w14:paraId="50720B33" w14:textId="77777777" w:rsidR="008B3F8A" w:rsidRPr="00F43AFE" w:rsidRDefault="008B3F8A" w:rsidP="00CC0C68">
      <w:pPr>
        <w:tabs>
          <w:tab w:val="left" w:pos="426"/>
        </w:tabs>
        <w:spacing w:after="0" w:line="240" w:lineRule="auto"/>
        <w:ind w:right="49"/>
        <w:jc w:val="both"/>
        <w:rPr>
          <w:rFonts w:ascii="Arial Nova" w:hAnsi="Arial Nova" w:cs="Times New Roman"/>
          <w:sz w:val="24"/>
          <w:szCs w:val="24"/>
        </w:rPr>
      </w:pPr>
    </w:p>
    <w:p w14:paraId="6BA52939" w14:textId="2194B6D1" w:rsidR="0048582B" w:rsidRPr="008B0FEE" w:rsidRDefault="00B323DA" w:rsidP="006D3C29">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6FCC20CC" w14:textId="77777777" w:rsidR="00996FA4" w:rsidRPr="00996FA4" w:rsidRDefault="00996FA4" w:rsidP="006D3C29">
      <w:pPr>
        <w:spacing w:after="0" w:line="240" w:lineRule="auto"/>
        <w:ind w:right="49"/>
        <w:jc w:val="both"/>
        <w:rPr>
          <w:rFonts w:ascii="Arial Nova" w:hAnsi="Arial Nova" w:cs="Times New Roman"/>
          <w:sz w:val="24"/>
          <w:szCs w:val="24"/>
        </w:rPr>
      </w:pPr>
    </w:p>
    <w:p w14:paraId="01637BE1" w14:textId="47FD04E4" w:rsidR="008B3F8A" w:rsidRPr="008B3F8A" w:rsidRDefault="008B3F8A" w:rsidP="00CA6C57">
      <w:pPr>
        <w:spacing w:after="0" w:line="240" w:lineRule="auto"/>
        <w:jc w:val="both"/>
        <w:rPr>
          <w:rFonts w:ascii="Arial Nova" w:hAnsi="Arial Nova" w:cs="Arial"/>
          <w:sz w:val="24"/>
          <w:szCs w:val="24"/>
        </w:rPr>
      </w:pPr>
      <w:r w:rsidRPr="008B3F8A">
        <w:rPr>
          <w:rFonts w:ascii="Arial Nova" w:hAnsi="Arial Nova" w:cs="Arial"/>
          <w:sz w:val="24"/>
          <w:szCs w:val="24"/>
        </w:rPr>
        <w:t>La Primera Sala</w:t>
      </w:r>
      <w:r>
        <w:rPr>
          <w:rFonts w:ascii="Arial Nova" w:hAnsi="Arial Nova" w:cs="Arial"/>
          <w:sz w:val="24"/>
          <w:szCs w:val="24"/>
        </w:rPr>
        <w:t xml:space="preserve"> </w:t>
      </w:r>
      <w:r w:rsidRPr="008B3F8A">
        <w:rPr>
          <w:rFonts w:ascii="Arial Nova" w:hAnsi="Arial Nova" w:cs="Arial"/>
          <w:sz w:val="24"/>
          <w:szCs w:val="24"/>
        </w:rPr>
        <w:t>reconoció la constitucionalidad del primer párrafo del artículo 43 del Código Penal para el Estado de Aguascalientes, que condiciona la concesión de sustitutivos de la pena de prisión a que las personas que lo soliciten no hayan sido condenadas por delitos que ameriten prisión preventiva oficiosa de acuerdo con el Código Nacional de Procedimientos Penales.</w:t>
      </w:r>
    </w:p>
    <w:p w14:paraId="6094066E" w14:textId="77777777" w:rsidR="008B3F8A" w:rsidRPr="008B3F8A" w:rsidRDefault="008B3F8A" w:rsidP="008B3F8A">
      <w:pPr>
        <w:spacing w:after="0" w:line="240" w:lineRule="auto"/>
        <w:jc w:val="both"/>
        <w:rPr>
          <w:rFonts w:ascii="Arial Nova" w:hAnsi="Arial Nova" w:cs="Arial"/>
          <w:sz w:val="24"/>
          <w:szCs w:val="24"/>
        </w:rPr>
      </w:pPr>
    </w:p>
    <w:p w14:paraId="29C7A3CC" w14:textId="77777777" w:rsidR="008B3F8A" w:rsidRPr="008B3F8A" w:rsidRDefault="008B3F8A" w:rsidP="008B3F8A">
      <w:pPr>
        <w:spacing w:after="0" w:line="240" w:lineRule="auto"/>
        <w:jc w:val="both"/>
        <w:rPr>
          <w:rFonts w:ascii="Arial Nova" w:hAnsi="Arial Nova" w:cs="Arial"/>
          <w:sz w:val="24"/>
          <w:szCs w:val="24"/>
        </w:rPr>
      </w:pPr>
      <w:r w:rsidRPr="008B3F8A">
        <w:rPr>
          <w:rFonts w:ascii="Arial Nova" w:hAnsi="Arial Nova" w:cs="Arial"/>
          <w:sz w:val="24"/>
          <w:szCs w:val="24"/>
        </w:rPr>
        <w:t>En su sentencia, la Sala consideró que, si bien la norma local reclamada prohíbe de forma categórica al sentenciado acceder al beneficio de sustitución de la pena, esto se debe a la facultad que le fue delegada constitucionalmente al legislador, atendiendo a la función que debe desempeñar en la política criminal, es decir, conducir la concordancia entre lo dispuesto en la norma y la realidad social. De modo que, si en el caso estimó necesario excluir a las personas sentenciadas por este tipo de delitos para lograr los fines de reinserción social previstos en el artículo 18 constitucional, ello no es contrario a los derechos fundamentales de los que goza la persona sentenciada.</w:t>
      </w:r>
    </w:p>
    <w:p w14:paraId="6AE39562" w14:textId="77777777" w:rsidR="008B3F8A" w:rsidRPr="008B3F8A" w:rsidRDefault="008B3F8A" w:rsidP="008B3F8A">
      <w:pPr>
        <w:spacing w:after="0" w:line="240" w:lineRule="auto"/>
        <w:jc w:val="both"/>
        <w:rPr>
          <w:rFonts w:ascii="Arial Nova" w:hAnsi="Arial Nova" w:cs="Arial"/>
          <w:sz w:val="24"/>
          <w:szCs w:val="24"/>
        </w:rPr>
      </w:pPr>
    </w:p>
    <w:p w14:paraId="37E6CD5C" w14:textId="6C5D6436" w:rsidR="008B3F8A" w:rsidRPr="008B3F8A" w:rsidRDefault="008B3F8A" w:rsidP="008B3F8A">
      <w:pPr>
        <w:spacing w:after="0" w:line="240" w:lineRule="auto"/>
        <w:jc w:val="both"/>
        <w:rPr>
          <w:rFonts w:ascii="Arial Nova" w:hAnsi="Arial Nova" w:cs="Arial"/>
          <w:sz w:val="24"/>
          <w:szCs w:val="24"/>
        </w:rPr>
      </w:pPr>
      <w:r w:rsidRPr="008B3F8A">
        <w:rPr>
          <w:rFonts w:ascii="Arial Nova" w:hAnsi="Arial Nova" w:cs="Arial"/>
          <w:sz w:val="24"/>
          <w:szCs w:val="24"/>
        </w:rPr>
        <w:t xml:space="preserve">Además, el Alto Tribunal deliberó que la disposición combatida fue construida en esos términos, no con el fin de regular cuestiones relacionadas con la prisión preventiva, sino para armonizar el código sustantivo local al que pertenece, con el Código Nacional de Procedimientos Penales. </w:t>
      </w:r>
      <w:r w:rsidR="006D3C29">
        <w:rPr>
          <w:rFonts w:ascii="Arial Nova" w:hAnsi="Arial Nova" w:cs="Arial"/>
          <w:sz w:val="24"/>
          <w:szCs w:val="24"/>
        </w:rPr>
        <w:t>Esto</w:t>
      </w:r>
      <w:r w:rsidRPr="008B3F8A">
        <w:rPr>
          <w:rFonts w:ascii="Arial Nova" w:hAnsi="Arial Nova" w:cs="Arial"/>
          <w:sz w:val="24"/>
          <w:szCs w:val="24"/>
        </w:rPr>
        <w:t xml:space="preserve">, en aras de evitar una remisión </w:t>
      </w:r>
      <w:r w:rsidRPr="008B3F8A">
        <w:rPr>
          <w:rFonts w:ascii="Arial Nova" w:hAnsi="Arial Nova" w:cs="Arial"/>
          <w:sz w:val="24"/>
          <w:szCs w:val="24"/>
        </w:rPr>
        <w:lastRenderedPageBreak/>
        <w:t>que no encontrara asidero, como la contenida en la norma antes de su adecuación, en el que negaba los sustitutivos de la pena a las personas sentenciadas por delitos considerados como graves conforme al Código de Procedimientos Penales para el Estado de Aguascalientes (</w:t>
      </w:r>
      <w:r w:rsidR="004E3D6E">
        <w:rPr>
          <w:rFonts w:ascii="Arial Nova" w:hAnsi="Arial Nova" w:cs="Arial"/>
          <w:sz w:val="24"/>
          <w:szCs w:val="24"/>
        </w:rPr>
        <w:t>abrogado</w:t>
      </w:r>
      <w:r w:rsidRPr="008B3F8A">
        <w:rPr>
          <w:rFonts w:ascii="Arial Nova" w:hAnsi="Arial Nova" w:cs="Arial"/>
          <w:sz w:val="24"/>
          <w:szCs w:val="24"/>
        </w:rPr>
        <w:t>), así como evitar un contexto de incertidumbre al momento de aplicar la norma, tanto para el destinatario de esta última como para el operador jurídico.</w:t>
      </w:r>
    </w:p>
    <w:p w14:paraId="2C610689" w14:textId="77777777" w:rsidR="008B3F8A" w:rsidRPr="008B3F8A" w:rsidRDefault="008B3F8A" w:rsidP="008B3F8A">
      <w:pPr>
        <w:spacing w:after="0" w:line="240" w:lineRule="auto"/>
        <w:jc w:val="both"/>
        <w:rPr>
          <w:rFonts w:ascii="Arial Nova" w:hAnsi="Arial Nova" w:cs="Arial"/>
          <w:sz w:val="24"/>
          <w:szCs w:val="24"/>
        </w:rPr>
      </w:pPr>
    </w:p>
    <w:p w14:paraId="21446D85" w14:textId="77777777" w:rsidR="008B3F8A" w:rsidRPr="008B3F8A" w:rsidRDefault="008B3F8A" w:rsidP="008B3F8A">
      <w:pPr>
        <w:spacing w:after="0" w:line="240" w:lineRule="auto"/>
        <w:jc w:val="both"/>
        <w:rPr>
          <w:rFonts w:ascii="Arial Nova" w:hAnsi="Arial Nova" w:cs="Arial"/>
          <w:sz w:val="24"/>
          <w:szCs w:val="24"/>
        </w:rPr>
      </w:pPr>
      <w:r w:rsidRPr="008B3F8A">
        <w:rPr>
          <w:rFonts w:ascii="Arial Nova" w:hAnsi="Arial Nova" w:cs="Arial"/>
          <w:sz w:val="24"/>
          <w:szCs w:val="24"/>
        </w:rPr>
        <w:t>En este sentido, la Primera Sala concluyó que tal adecuación no puede estimarse irracional o desproporcionada, pues la teleología o causa final de la norma, sigue siendo la misma: tratar con mayor rigurosidad ciertas conductas, en aras de proteger los derechos de la sociedad a la paz y a la seguridad social, que en el caso resultan ser las mismas que ameritan prisión preventiva oficiosa de acuerdo con el legislador federal.</w:t>
      </w:r>
    </w:p>
    <w:p w14:paraId="598B4B4B" w14:textId="240DAC97" w:rsidR="0075201D" w:rsidRPr="0075201D" w:rsidRDefault="0075201D" w:rsidP="00CA6C57">
      <w:pPr>
        <w:spacing w:after="0" w:line="240" w:lineRule="auto"/>
        <w:ind w:right="49"/>
        <w:jc w:val="both"/>
        <w:rPr>
          <w:rFonts w:ascii="Arial Nova" w:hAnsi="Arial Nova" w:cs="Times New Roman"/>
          <w:sz w:val="24"/>
          <w:szCs w:val="24"/>
        </w:rPr>
      </w:pPr>
    </w:p>
    <w:p w14:paraId="6555BF86" w14:textId="468A3E49" w:rsidR="0048582B" w:rsidRPr="00642B2A" w:rsidRDefault="00B323DA" w:rsidP="00CC0C68">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CA6C57">
      <w:pPr>
        <w:spacing w:after="0" w:line="240" w:lineRule="auto"/>
        <w:jc w:val="both"/>
        <w:rPr>
          <w:rFonts w:ascii="Arial Nova" w:hAnsi="Arial Nova" w:cs="Times New Roman"/>
          <w:b/>
          <w:bCs/>
          <w:sz w:val="24"/>
          <w:szCs w:val="24"/>
          <w:shd w:val="clear" w:color="auto" w:fill="B4C6E7" w:themeFill="accent1" w:themeFillTint="66"/>
        </w:rPr>
      </w:pPr>
    </w:p>
    <w:p w14:paraId="04F5A63D" w14:textId="42C796E4" w:rsidR="00642B2A"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75201D">
        <w:rPr>
          <w:rFonts w:ascii="Arial Nova" w:hAnsi="Arial Nova" w:cs="Times New Roman"/>
          <w:sz w:val="24"/>
          <w:szCs w:val="24"/>
        </w:rPr>
        <w:t>1</w:t>
      </w:r>
      <w:r w:rsidR="008B3F8A">
        <w:rPr>
          <w:rFonts w:ascii="Arial Nova" w:hAnsi="Arial Nova" w:cs="Times New Roman"/>
          <w:sz w:val="24"/>
          <w:szCs w:val="24"/>
        </w:rPr>
        <w:t xml:space="preserve">7 </w:t>
      </w:r>
      <w:r w:rsidR="0075201D">
        <w:rPr>
          <w:rFonts w:ascii="Arial Nova" w:hAnsi="Arial Nova" w:cs="Times New Roman"/>
          <w:sz w:val="24"/>
          <w:szCs w:val="24"/>
        </w:rPr>
        <w:t xml:space="preserve">de mayo </w:t>
      </w:r>
      <w:r w:rsidRPr="001F4A4B">
        <w:rPr>
          <w:rFonts w:ascii="Arial Nova" w:hAnsi="Arial Nova" w:cs="Times New Roman"/>
          <w:sz w:val="24"/>
          <w:szCs w:val="24"/>
        </w:rPr>
        <w:t xml:space="preserve">de 2023, por </w:t>
      </w:r>
      <w:r w:rsidR="0075201D">
        <w:rPr>
          <w:rFonts w:ascii="Arial Nova" w:hAnsi="Arial Nova" w:cs="Times New Roman"/>
          <w:sz w:val="24"/>
          <w:szCs w:val="24"/>
        </w:rPr>
        <w:t xml:space="preserve">mayoría </w:t>
      </w:r>
      <w:r w:rsidR="00872986">
        <w:rPr>
          <w:rFonts w:ascii="Arial Nova" w:hAnsi="Arial Nova" w:cs="Times New Roman"/>
          <w:sz w:val="24"/>
          <w:szCs w:val="24"/>
        </w:rPr>
        <w:t>de tres</w:t>
      </w:r>
      <w:r w:rsidR="008B3F8A">
        <w:rPr>
          <w:rFonts w:ascii="Arial Nova" w:hAnsi="Arial Nova" w:cs="Times New Roman"/>
          <w:sz w:val="24"/>
          <w:szCs w:val="24"/>
        </w:rPr>
        <w:t xml:space="preserve"> votos </w:t>
      </w:r>
      <w:r w:rsidR="00F065AF">
        <w:rPr>
          <w:rFonts w:ascii="Arial Nova" w:hAnsi="Arial Nova" w:cs="Times New Roman"/>
          <w:sz w:val="24"/>
          <w:szCs w:val="24"/>
        </w:rPr>
        <w:t xml:space="preserve">de la Señora Ministra Ana Margarita Ríos Farjat y de </w:t>
      </w:r>
      <w:r w:rsidR="001B1219">
        <w:rPr>
          <w:rFonts w:ascii="Arial Nova" w:hAnsi="Arial Nova" w:cs="Times New Roman"/>
          <w:sz w:val="24"/>
          <w:szCs w:val="24"/>
        </w:rPr>
        <w:t xml:space="preserve">los Señores Ministros </w:t>
      </w:r>
      <w:r w:rsidR="00F065AF">
        <w:rPr>
          <w:rFonts w:ascii="Arial Nova" w:hAnsi="Arial Nova" w:cs="Times New Roman"/>
          <w:sz w:val="24"/>
          <w:szCs w:val="24"/>
        </w:rPr>
        <w:t>A</w:t>
      </w:r>
      <w:r w:rsidRPr="001F4A4B">
        <w:rPr>
          <w:rFonts w:ascii="Arial Nova" w:hAnsi="Arial Nova" w:cs="Times New Roman"/>
          <w:sz w:val="24"/>
          <w:szCs w:val="24"/>
        </w:rPr>
        <w:t>lfredo Gutiérrez Ortiz Mena</w:t>
      </w:r>
      <w:r w:rsidR="00F065AF">
        <w:rPr>
          <w:rFonts w:ascii="Arial Nova" w:hAnsi="Arial Nova" w:cs="Times New Roman"/>
          <w:sz w:val="24"/>
          <w:szCs w:val="24"/>
        </w:rPr>
        <w:t xml:space="preserve"> </w:t>
      </w:r>
      <w:r w:rsidRPr="001F4A4B">
        <w:rPr>
          <w:rFonts w:ascii="Arial Nova" w:hAnsi="Arial Nova" w:cs="Times New Roman"/>
          <w:sz w:val="24"/>
          <w:szCs w:val="24"/>
        </w:rPr>
        <w:t>y Jorge Mario Pardo Rebolledo</w:t>
      </w:r>
      <w:r w:rsidR="00A36297">
        <w:rPr>
          <w:rFonts w:ascii="Arial Nova" w:hAnsi="Arial Nova" w:cs="Times New Roman"/>
          <w:sz w:val="24"/>
          <w:szCs w:val="24"/>
        </w:rPr>
        <w:t xml:space="preserve"> (Presidente)</w:t>
      </w:r>
      <w:r w:rsidRPr="001F4A4B">
        <w:rPr>
          <w:rFonts w:ascii="Arial Nova" w:hAnsi="Arial Nova" w:cs="Times New Roman"/>
          <w:sz w:val="24"/>
          <w:szCs w:val="24"/>
        </w:rPr>
        <w:t>.</w:t>
      </w:r>
      <w:r w:rsidR="0075201D">
        <w:rPr>
          <w:rFonts w:ascii="Arial Nova" w:hAnsi="Arial Nova" w:cs="Times New Roman"/>
          <w:sz w:val="24"/>
          <w:szCs w:val="24"/>
        </w:rPr>
        <w:t xml:space="preserve"> En contra de</w:t>
      </w:r>
      <w:r w:rsidR="00872986">
        <w:rPr>
          <w:rFonts w:ascii="Arial Nova" w:hAnsi="Arial Nova" w:cs="Times New Roman"/>
          <w:sz w:val="24"/>
          <w:szCs w:val="24"/>
        </w:rPr>
        <w:t xml:space="preserve"> los </w:t>
      </w:r>
      <w:r w:rsidR="0075201D">
        <w:rPr>
          <w:rFonts w:ascii="Arial Nova" w:hAnsi="Arial Nova" w:cs="Times New Roman"/>
          <w:sz w:val="24"/>
          <w:szCs w:val="24"/>
        </w:rPr>
        <w:t>emitido</w:t>
      </w:r>
      <w:r w:rsidR="00872986">
        <w:rPr>
          <w:rFonts w:ascii="Arial Nova" w:hAnsi="Arial Nova" w:cs="Times New Roman"/>
          <w:sz w:val="24"/>
          <w:szCs w:val="24"/>
        </w:rPr>
        <w:t>s</w:t>
      </w:r>
      <w:r w:rsidR="0075201D">
        <w:rPr>
          <w:rFonts w:ascii="Arial Nova" w:hAnsi="Arial Nova" w:cs="Times New Roman"/>
          <w:sz w:val="24"/>
          <w:szCs w:val="24"/>
        </w:rPr>
        <w:t xml:space="preserve"> por </w:t>
      </w:r>
      <w:r w:rsidR="008B3F8A">
        <w:rPr>
          <w:rFonts w:ascii="Arial Nova" w:hAnsi="Arial Nova" w:cs="Times New Roman"/>
          <w:sz w:val="24"/>
          <w:szCs w:val="24"/>
        </w:rPr>
        <w:t xml:space="preserve">los </w:t>
      </w:r>
      <w:r w:rsidR="0075201D">
        <w:rPr>
          <w:rFonts w:ascii="Arial Nova" w:hAnsi="Arial Nova" w:cs="Times New Roman"/>
          <w:sz w:val="24"/>
          <w:szCs w:val="24"/>
        </w:rPr>
        <w:t>Señor</w:t>
      </w:r>
      <w:r w:rsidR="008B3F8A">
        <w:rPr>
          <w:rFonts w:ascii="Arial Nova" w:hAnsi="Arial Nova" w:cs="Times New Roman"/>
          <w:sz w:val="24"/>
          <w:szCs w:val="24"/>
        </w:rPr>
        <w:t>es</w:t>
      </w:r>
      <w:r w:rsidR="0075201D">
        <w:rPr>
          <w:rFonts w:ascii="Arial Nova" w:hAnsi="Arial Nova" w:cs="Times New Roman"/>
          <w:sz w:val="24"/>
          <w:szCs w:val="24"/>
        </w:rPr>
        <w:t xml:space="preserve"> Ministro</w:t>
      </w:r>
      <w:r w:rsidR="008B3F8A">
        <w:rPr>
          <w:rFonts w:ascii="Arial Nova" w:hAnsi="Arial Nova" w:cs="Times New Roman"/>
          <w:sz w:val="24"/>
          <w:szCs w:val="24"/>
        </w:rPr>
        <w:t>s</w:t>
      </w:r>
      <w:r w:rsidR="0075201D">
        <w:rPr>
          <w:rFonts w:ascii="Arial Nova" w:hAnsi="Arial Nova" w:cs="Times New Roman"/>
          <w:sz w:val="24"/>
          <w:szCs w:val="24"/>
        </w:rPr>
        <w:t xml:space="preserve"> </w:t>
      </w:r>
      <w:r w:rsidR="008B3F8A" w:rsidRPr="001F4A4B">
        <w:rPr>
          <w:rFonts w:ascii="Arial Nova" w:hAnsi="Arial Nova" w:cs="Times New Roman"/>
          <w:sz w:val="24"/>
          <w:szCs w:val="24"/>
        </w:rPr>
        <w:t>Arturo Zaldívar Lelo de Larrea</w:t>
      </w:r>
      <w:r w:rsidR="00CC0C68" w:rsidRPr="00CC0C68">
        <w:rPr>
          <w:rFonts w:ascii="Arial Nova" w:hAnsi="Arial Nova" w:cs="Times New Roman"/>
          <w:sz w:val="24"/>
          <w:szCs w:val="24"/>
        </w:rPr>
        <w:t xml:space="preserve"> </w:t>
      </w:r>
      <w:r w:rsidR="00CC0C68">
        <w:rPr>
          <w:rFonts w:ascii="Arial Nova" w:hAnsi="Arial Nova" w:cs="Times New Roman"/>
          <w:sz w:val="24"/>
          <w:szCs w:val="24"/>
        </w:rPr>
        <w:t xml:space="preserve">y </w:t>
      </w:r>
      <w:r w:rsidR="00CC0C68" w:rsidRPr="001F4A4B">
        <w:rPr>
          <w:rFonts w:ascii="Arial Nova" w:hAnsi="Arial Nova" w:cs="Times New Roman"/>
          <w:sz w:val="24"/>
          <w:szCs w:val="24"/>
        </w:rPr>
        <w:t>Juan Luis González Alcántara Carrancá</w:t>
      </w:r>
      <w:r w:rsidR="00CC0C68">
        <w:rPr>
          <w:rFonts w:ascii="Arial Nova" w:hAnsi="Arial Nova" w:cs="Times New Roman"/>
          <w:sz w:val="24"/>
          <w:szCs w:val="24"/>
        </w:rPr>
        <w:t>, quien se reserva su derecho a formular voto particular</w:t>
      </w:r>
      <w:r w:rsidR="00872986">
        <w:rPr>
          <w:rFonts w:ascii="Arial Nova" w:hAnsi="Arial Nova" w:cs="Times New Roman"/>
          <w:sz w:val="24"/>
          <w:szCs w:val="24"/>
        </w:rPr>
        <w:t>.</w:t>
      </w:r>
    </w:p>
    <w:p w14:paraId="67E999EE" w14:textId="07C31D93" w:rsidR="00872986" w:rsidRDefault="00872986" w:rsidP="005651E4">
      <w:pPr>
        <w:spacing w:after="0" w:line="240" w:lineRule="auto"/>
        <w:jc w:val="both"/>
        <w:rPr>
          <w:rFonts w:ascii="Arial Nova" w:hAnsi="Arial Nova" w:cs="Times New Roman"/>
          <w:sz w:val="24"/>
          <w:szCs w:val="24"/>
        </w:rPr>
      </w:pPr>
    </w:p>
    <w:p w14:paraId="63524945" w14:textId="77777777" w:rsidR="00872986" w:rsidRDefault="00872986"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4F9B" w14:textId="77777777" w:rsidR="00A03B9A" w:rsidRDefault="00A03B9A" w:rsidP="000A7E7B">
      <w:pPr>
        <w:spacing w:after="0" w:line="240" w:lineRule="auto"/>
      </w:pPr>
      <w:r>
        <w:separator/>
      </w:r>
    </w:p>
    <w:p w14:paraId="11A9A954" w14:textId="77777777" w:rsidR="00A03B9A" w:rsidRDefault="00A03B9A"/>
  </w:endnote>
  <w:endnote w:type="continuationSeparator" w:id="0">
    <w:p w14:paraId="6E0A5739" w14:textId="77777777" w:rsidR="00A03B9A" w:rsidRDefault="00A03B9A" w:rsidP="000A7E7B">
      <w:pPr>
        <w:spacing w:after="0" w:line="240" w:lineRule="auto"/>
      </w:pPr>
      <w:r>
        <w:continuationSeparator/>
      </w:r>
    </w:p>
    <w:p w14:paraId="1DC11EA5" w14:textId="77777777" w:rsidR="00A03B9A" w:rsidRDefault="00A03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0638" w14:textId="77777777" w:rsidR="00A03B9A" w:rsidRDefault="00A03B9A" w:rsidP="000A7E7B">
      <w:pPr>
        <w:spacing w:after="0" w:line="240" w:lineRule="auto"/>
      </w:pPr>
      <w:r>
        <w:separator/>
      </w:r>
    </w:p>
    <w:p w14:paraId="3AA45CE6" w14:textId="77777777" w:rsidR="00A03B9A" w:rsidRDefault="00A03B9A"/>
  </w:footnote>
  <w:footnote w:type="continuationSeparator" w:id="0">
    <w:p w14:paraId="06C0CF16" w14:textId="77777777" w:rsidR="00A03B9A" w:rsidRDefault="00A03B9A" w:rsidP="000A7E7B">
      <w:pPr>
        <w:spacing w:after="0" w:line="240" w:lineRule="auto"/>
      </w:pPr>
      <w:r>
        <w:continuationSeparator/>
      </w:r>
    </w:p>
    <w:p w14:paraId="2DD52728" w14:textId="77777777" w:rsidR="00A03B9A" w:rsidRDefault="00A03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6D3C29">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0C2E10B" w:rsidR="0048582B" w:rsidRPr="00046D48" w:rsidRDefault="0048582B" w:rsidP="006D3C29">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352E32">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352E32">
      <w:rPr>
        <w:rFonts w:ascii="Arial Nova" w:hAnsi="Arial Nova" w:cs="Times New Roman"/>
        <w:b/>
        <w:bCs/>
        <w:color w:val="002060"/>
        <w:sz w:val="20"/>
        <w:szCs w:val="20"/>
      </w:rPr>
      <w:t>5471/2022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3"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3"/>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76C1C"/>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B1219"/>
    <w:rsid w:val="001C01EC"/>
    <w:rsid w:val="001C0F20"/>
    <w:rsid w:val="001C63EB"/>
    <w:rsid w:val="001D13B2"/>
    <w:rsid w:val="001D21EB"/>
    <w:rsid w:val="001D4B75"/>
    <w:rsid w:val="001D5AB2"/>
    <w:rsid w:val="001E084E"/>
    <w:rsid w:val="001E1594"/>
    <w:rsid w:val="001E25BF"/>
    <w:rsid w:val="001E577C"/>
    <w:rsid w:val="001E64C1"/>
    <w:rsid w:val="001E75D9"/>
    <w:rsid w:val="001F200E"/>
    <w:rsid w:val="001F378E"/>
    <w:rsid w:val="001F4A4B"/>
    <w:rsid w:val="001F4F5F"/>
    <w:rsid w:val="00203CAF"/>
    <w:rsid w:val="00205864"/>
    <w:rsid w:val="00206824"/>
    <w:rsid w:val="00207CDE"/>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2732"/>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2E32"/>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C7974"/>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515"/>
    <w:rsid w:val="004D4628"/>
    <w:rsid w:val="004D5768"/>
    <w:rsid w:val="004E08A2"/>
    <w:rsid w:val="004E37A1"/>
    <w:rsid w:val="004E3D6E"/>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EF6"/>
    <w:rsid w:val="005D4956"/>
    <w:rsid w:val="005D668C"/>
    <w:rsid w:val="005D7615"/>
    <w:rsid w:val="005D7AF6"/>
    <w:rsid w:val="005D7D25"/>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76575"/>
    <w:rsid w:val="0068196C"/>
    <w:rsid w:val="00681F98"/>
    <w:rsid w:val="006916BA"/>
    <w:rsid w:val="00694131"/>
    <w:rsid w:val="006A0C3F"/>
    <w:rsid w:val="006A366D"/>
    <w:rsid w:val="006B2893"/>
    <w:rsid w:val="006B7665"/>
    <w:rsid w:val="006D203A"/>
    <w:rsid w:val="006D3C29"/>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45FF"/>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201D"/>
    <w:rsid w:val="007550E6"/>
    <w:rsid w:val="0075631D"/>
    <w:rsid w:val="00757007"/>
    <w:rsid w:val="007574DF"/>
    <w:rsid w:val="00760762"/>
    <w:rsid w:val="00761115"/>
    <w:rsid w:val="007616FA"/>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44D4"/>
    <w:rsid w:val="00825464"/>
    <w:rsid w:val="00832148"/>
    <w:rsid w:val="00833EEB"/>
    <w:rsid w:val="00837EF3"/>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986"/>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B3F8A"/>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96FA4"/>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3B9A"/>
    <w:rsid w:val="00A06BD8"/>
    <w:rsid w:val="00A1353A"/>
    <w:rsid w:val="00A14187"/>
    <w:rsid w:val="00A23FF9"/>
    <w:rsid w:val="00A24797"/>
    <w:rsid w:val="00A2652C"/>
    <w:rsid w:val="00A26C35"/>
    <w:rsid w:val="00A335F8"/>
    <w:rsid w:val="00A34118"/>
    <w:rsid w:val="00A356D8"/>
    <w:rsid w:val="00A36297"/>
    <w:rsid w:val="00A372BA"/>
    <w:rsid w:val="00A46110"/>
    <w:rsid w:val="00A54512"/>
    <w:rsid w:val="00A60A42"/>
    <w:rsid w:val="00A61235"/>
    <w:rsid w:val="00A64273"/>
    <w:rsid w:val="00A71F20"/>
    <w:rsid w:val="00A762AD"/>
    <w:rsid w:val="00A85ADA"/>
    <w:rsid w:val="00A91D26"/>
    <w:rsid w:val="00A94ABA"/>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7BE9"/>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A6C57"/>
    <w:rsid w:val="00CC0C68"/>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11A"/>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463A3"/>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605C3"/>
    <w:rsid w:val="00F63276"/>
    <w:rsid w:val="00F6655B"/>
    <w:rsid w:val="00F66F10"/>
    <w:rsid w:val="00F6787C"/>
    <w:rsid w:val="00F67D19"/>
    <w:rsid w:val="00F751FF"/>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75201D"/>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75201D"/>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843</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31</cp:revision>
  <cp:lastPrinted>2021-06-08T20:16:00Z</cp:lastPrinted>
  <dcterms:created xsi:type="dcterms:W3CDTF">2023-04-28T00:15:00Z</dcterms:created>
  <dcterms:modified xsi:type="dcterms:W3CDTF">2023-07-11T19:26:00Z</dcterms:modified>
</cp:coreProperties>
</file>