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854CB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854CB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49F05D5" w:rsidR="00EE029D" w:rsidRPr="001B4B68" w:rsidRDefault="00A669A1" w:rsidP="00B323DA">
      <w:pPr>
        <w:shd w:val="clear" w:color="auto" w:fill="E7E6E6" w:themeFill="background2"/>
        <w:spacing w:after="0" w:line="276" w:lineRule="auto"/>
        <w:ind w:right="49"/>
        <w:jc w:val="center"/>
        <w:rPr>
          <w:rFonts w:ascii="Arial Nova" w:hAnsi="Arial Nova" w:cs="Times New Roman"/>
          <w:b/>
          <w:bCs/>
          <w:smallCaps/>
          <w:color w:val="002060"/>
          <w:sz w:val="24"/>
        </w:rPr>
      </w:pPr>
      <w:r w:rsidRPr="001B4B68">
        <w:rPr>
          <w:rFonts w:ascii="Arial Nova" w:hAnsi="Arial Nova" w:cs="Times New Roman"/>
          <w:b/>
          <w:bCs/>
          <w:smallCaps/>
          <w:color w:val="002060"/>
        </w:rPr>
        <w:t>ES CONSTITUCIONAL LA OBLIGACIÓN DE LAS PERSONAS MORALES CON FINES NO LUCRATIVOS DE RESPALDAR LA DEDUCCIÓN DE GASTOS CON UN COMPROBANTE FI</w:t>
      </w:r>
      <w:r w:rsidR="00D60BDE" w:rsidRPr="001B4B68">
        <w:rPr>
          <w:rFonts w:ascii="Arial Nova" w:hAnsi="Arial Nova" w:cs="Times New Roman"/>
          <w:b/>
          <w:bCs/>
          <w:smallCaps/>
          <w:color w:val="002060"/>
        </w:rPr>
        <w:t>S</w:t>
      </w:r>
      <w:r w:rsidRPr="001B4B68">
        <w:rPr>
          <w:rFonts w:ascii="Arial Nova" w:hAnsi="Arial Nova" w:cs="Times New Roman"/>
          <w:b/>
          <w:bCs/>
          <w:smallCaps/>
          <w:color w:val="002060"/>
        </w:rPr>
        <w:t>CAL</w:t>
      </w:r>
    </w:p>
    <w:p w14:paraId="6FB7DAC2" w14:textId="77777777" w:rsidR="001C01EC" w:rsidRPr="001B4B68" w:rsidRDefault="001C01EC" w:rsidP="00854CB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B88E520" w14:textId="15FA59A1" w:rsidR="000771DD" w:rsidRPr="001B4B68" w:rsidRDefault="000771DD" w:rsidP="00854CB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5F3EF9DF" w:rsidR="00832148" w:rsidRPr="001B4B68" w:rsidRDefault="000018A2" w:rsidP="00854CB9">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B4B68">
        <w:rPr>
          <w:rFonts w:ascii="Arial Nova" w:hAnsi="Arial Nova" w:cs="Times New Roman"/>
          <w:b/>
          <w:bCs/>
          <w:smallCaps/>
          <w:color w:val="002060"/>
        </w:rPr>
        <w:t xml:space="preserve">Ponente: </w:t>
      </w:r>
      <w:r w:rsidR="00DD0966" w:rsidRPr="001B4B68">
        <w:rPr>
          <w:rFonts w:ascii="Arial Nova" w:hAnsi="Arial Nova" w:cs="Times New Roman"/>
          <w:b/>
          <w:bCs/>
          <w:smallCaps/>
          <w:color w:val="002060"/>
        </w:rPr>
        <w:t>Ministr</w:t>
      </w:r>
      <w:r w:rsidR="00854CB9" w:rsidRPr="001B4B68">
        <w:rPr>
          <w:rFonts w:ascii="Arial Nova" w:hAnsi="Arial Nova" w:cs="Times New Roman"/>
          <w:b/>
          <w:bCs/>
          <w:smallCaps/>
          <w:color w:val="002060"/>
        </w:rPr>
        <w:t>o</w:t>
      </w:r>
      <w:r w:rsidR="00DD0966" w:rsidRPr="001B4B68">
        <w:rPr>
          <w:rFonts w:ascii="Arial Nova" w:hAnsi="Arial Nova" w:cs="Times New Roman"/>
          <w:b/>
          <w:bCs/>
          <w:smallCaps/>
          <w:color w:val="002060"/>
        </w:rPr>
        <w:t xml:space="preserve"> </w:t>
      </w:r>
      <w:r w:rsidR="00854CB9" w:rsidRPr="001B4B68">
        <w:rPr>
          <w:rFonts w:ascii="Arial Nova" w:hAnsi="Arial Nova" w:cs="Times New Roman"/>
          <w:b/>
          <w:bCs/>
          <w:smallCaps/>
          <w:color w:val="002060"/>
        </w:rPr>
        <w:t>Juan Luis González Alcántara Carrancá</w:t>
      </w:r>
      <w:r w:rsidR="00B92B45" w:rsidRPr="001B4B68">
        <w:rPr>
          <w:rFonts w:ascii="Arial Nova" w:hAnsi="Arial Nova" w:cs="Times New Roman"/>
          <w:smallCaps/>
          <w:color w:val="002060"/>
        </w:rPr>
        <w:t>.</w:t>
      </w:r>
    </w:p>
    <w:p w14:paraId="63E065DC" w14:textId="1D6A8954" w:rsidR="00832148" w:rsidRPr="001B4B68" w:rsidRDefault="000018A2" w:rsidP="00854CB9">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B4B68">
        <w:rPr>
          <w:rFonts w:ascii="Arial Nova" w:hAnsi="Arial Nova" w:cs="Times New Roman"/>
          <w:smallCaps/>
          <w:color w:val="002060"/>
        </w:rPr>
        <w:t>Secretari</w:t>
      </w:r>
      <w:r w:rsidR="00300F95" w:rsidRPr="001B4B68">
        <w:rPr>
          <w:rFonts w:ascii="Arial Nova" w:hAnsi="Arial Nova" w:cs="Times New Roman"/>
          <w:smallCaps/>
          <w:color w:val="002060"/>
        </w:rPr>
        <w:t>o</w:t>
      </w:r>
      <w:r w:rsidRPr="001B4B68">
        <w:rPr>
          <w:rFonts w:ascii="Arial Nova" w:hAnsi="Arial Nova" w:cs="Times New Roman"/>
          <w:smallCaps/>
          <w:color w:val="002060"/>
        </w:rPr>
        <w:t xml:space="preserve">: </w:t>
      </w:r>
      <w:r w:rsidR="00854CB9" w:rsidRPr="001B4B68">
        <w:rPr>
          <w:rFonts w:ascii="Arial Nova" w:hAnsi="Arial Nova" w:cs="Times New Roman"/>
          <w:smallCaps/>
          <w:color w:val="002060"/>
        </w:rPr>
        <w:t>Néstor Rafael Salas Castillo</w:t>
      </w:r>
      <w:r w:rsidR="00B92B45" w:rsidRPr="001B4B68">
        <w:rPr>
          <w:rFonts w:ascii="Arial Nova" w:hAnsi="Arial Nova" w:cs="Times New Roman"/>
          <w:smallCaps/>
          <w:color w:val="002060"/>
        </w:rPr>
        <w:t>.</w:t>
      </w:r>
      <w:bookmarkEnd w:id="2"/>
    </w:p>
    <w:p w14:paraId="1C0B4F90" w14:textId="0C59F068" w:rsidR="001C01EC" w:rsidRPr="001B4B68" w:rsidRDefault="001C01EC" w:rsidP="00854CB9">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B4B68">
        <w:rPr>
          <w:rFonts w:ascii="Arial Nova" w:hAnsi="Arial Nova" w:cs="Times New Roman"/>
          <w:smallCaps/>
          <w:color w:val="002060"/>
        </w:rPr>
        <w:t xml:space="preserve">Expediente: Amparo </w:t>
      </w:r>
      <w:r w:rsidR="00D04554" w:rsidRPr="001B4B68">
        <w:rPr>
          <w:rFonts w:ascii="Arial Nova" w:hAnsi="Arial Nova" w:cs="Times New Roman"/>
          <w:smallCaps/>
          <w:color w:val="002060"/>
        </w:rPr>
        <w:t xml:space="preserve">en </w:t>
      </w:r>
      <w:r w:rsidRPr="001B4B68">
        <w:rPr>
          <w:rFonts w:ascii="Arial Nova" w:hAnsi="Arial Nova" w:cs="Times New Roman"/>
          <w:smallCaps/>
          <w:color w:val="002060"/>
        </w:rPr>
        <w:t xml:space="preserve">Revisión </w:t>
      </w:r>
      <w:r w:rsidR="00854CB9" w:rsidRPr="001B4B68">
        <w:rPr>
          <w:rFonts w:ascii="Arial Nova" w:hAnsi="Arial Nova" w:cs="Times New Roman"/>
          <w:smallCaps/>
          <w:color w:val="002060"/>
        </w:rPr>
        <w:t>130/</w:t>
      </w:r>
      <w:r w:rsidRPr="001B4B68">
        <w:rPr>
          <w:rFonts w:ascii="Arial Nova" w:hAnsi="Arial Nova" w:cs="Times New Roman"/>
          <w:smallCaps/>
          <w:color w:val="002060"/>
        </w:rPr>
        <w:t>202</w:t>
      </w:r>
      <w:r w:rsidR="00854CB9" w:rsidRPr="001B4B68">
        <w:rPr>
          <w:rFonts w:ascii="Arial Nova" w:hAnsi="Arial Nova" w:cs="Times New Roman"/>
          <w:smallCaps/>
          <w:color w:val="002060"/>
        </w:rPr>
        <w:t>2</w:t>
      </w:r>
      <w:r w:rsidRPr="001B4B68">
        <w:rPr>
          <w:rFonts w:ascii="Arial Nova" w:hAnsi="Arial Nova" w:cs="Times New Roman"/>
          <w:smallCaps/>
        </w:rPr>
        <w:t>.</w:t>
      </w:r>
      <w:bookmarkEnd w:id="1"/>
      <w:bookmarkEnd w:id="3"/>
    </w:p>
    <w:p w14:paraId="4ED83672" w14:textId="77777777" w:rsidR="001C01EC" w:rsidRPr="001B4B68" w:rsidRDefault="001C01EC" w:rsidP="006D5BEA">
      <w:pPr>
        <w:spacing w:after="0" w:line="240" w:lineRule="auto"/>
        <w:rPr>
          <w:rFonts w:ascii="Arial Nova" w:hAnsi="Arial Nova" w:cs="Times New Roman"/>
          <w:sz w:val="20"/>
          <w:szCs w:val="20"/>
        </w:rPr>
      </w:pPr>
    </w:p>
    <w:p w14:paraId="23CDDC7C" w14:textId="77777777" w:rsidR="001624A8" w:rsidRPr="001B4B68" w:rsidRDefault="001624A8" w:rsidP="006D5BEA">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B4B68"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B4B68" w:rsidRDefault="00E32435" w:rsidP="00C30AA0">
            <w:pPr>
              <w:jc w:val="both"/>
              <w:rPr>
                <w:rFonts w:ascii="Times New Roman" w:hAnsi="Times New Roman" w:cs="Times New Roman"/>
                <w:b/>
                <w:bCs/>
                <w:color w:val="002060"/>
                <w:sz w:val="20"/>
                <w:szCs w:val="20"/>
              </w:rPr>
            </w:pPr>
          </w:p>
          <w:p w14:paraId="213F2911" w14:textId="1B37FFC4" w:rsidR="00B65914" w:rsidRPr="001B4B68" w:rsidRDefault="00B323DA" w:rsidP="00B65914">
            <w:pPr>
              <w:shd w:val="clear" w:color="auto" w:fill="FFFFFF" w:themeFill="background1"/>
              <w:spacing w:line="276" w:lineRule="auto"/>
              <w:rPr>
                <w:rFonts w:ascii="Arial Nova" w:hAnsi="Arial Nova" w:cs="Times New Roman"/>
                <w:smallCaps/>
                <w:color w:val="002060"/>
                <w:sz w:val="24"/>
                <w:szCs w:val="24"/>
              </w:rPr>
            </w:pPr>
            <w:r w:rsidRPr="001B4B68">
              <w:rPr>
                <w:rFonts w:ascii="Arial Nova" w:hAnsi="Arial Nova" w:cs="Times New Roman"/>
                <w:b/>
                <w:bCs/>
                <w:smallCaps/>
                <w:color w:val="000F2E"/>
                <w:sz w:val="28"/>
                <w:szCs w:val="28"/>
              </w:rPr>
              <w:t>R</w:t>
            </w:r>
            <w:r w:rsidRPr="001B4B68">
              <w:rPr>
                <w:rFonts w:ascii="Arial Nova" w:hAnsi="Arial Nova" w:cs="Times New Roman"/>
                <w:b/>
                <w:bCs/>
                <w:smallCaps/>
                <w:color w:val="000F2E"/>
                <w:sz w:val="24"/>
                <w:szCs w:val="24"/>
              </w:rPr>
              <w:t>esumen:</w:t>
            </w:r>
          </w:p>
          <w:p w14:paraId="171E7566" w14:textId="77777777" w:rsidR="00584C2F" w:rsidRPr="001B4B68" w:rsidRDefault="00584C2F" w:rsidP="00C30AA0">
            <w:pPr>
              <w:jc w:val="both"/>
              <w:rPr>
                <w:rFonts w:ascii="Arial Nova" w:hAnsi="Arial Nova" w:cs="Times New Roman"/>
                <w:color w:val="002060"/>
                <w:sz w:val="20"/>
                <w:szCs w:val="20"/>
              </w:rPr>
            </w:pPr>
          </w:p>
          <w:p w14:paraId="0DF63FC8" w14:textId="52FDB2FE" w:rsidR="004642F7" w:rsidRPr="001B4B68" w:rsidRDefault="004642F7" w:rsidP="00854CB9">
            <w:pPr>
              <w:jc w:val="both"/>
              <w:rPr>
                <w:rFonts w:ascii="Arial Nova" w:hAnsi="Arial Nova" w:cs="Times New Roman"/>
              </w:rPr>
            </w:pPr>
            <w:r w:rsidRPr="001B4B68">
              <w:rPr>
                <w:rFonts w:ascii="Arial Nova" w:hAnsi="Arial Nova" w:cs="Times New Roman"/>
              </w:rPr>
              <w:t>Una Asociación C</w:t>
            </w:r>
            <w:r w:rsidR="00854CB9" w:rsidRPr="001B4B68">
              <w:rPr>
                <w:rFonts w:ascii="Arial Nova" w:hAnsi="Arial Nova" w:cs="Times New Roman"/>
              </w:rPr>
              <w:t xml:space="preserve">ivil promovió </w:t>
            </w:r>
            <w:r w:rsidR="006D5BEA" w:rsidRPr="001B4B68">
              <w:rPr>
                <w:rFonts w:ascii="Arial Nova" w:hAnsi="Arial Nova" w:cs="Times New Roman"/>
              </w:rPr>
              <w:t xml:space="preserve">un juicio de </w:t>
            </w:r>
            <w:r w:rsidR="00854CB9" w:rsidRPr="001B4B68">
              <w:rPr>
                <w:rFonts w:ascii="Arial Nova" w:hAnsi="Arial Nova" w:cs="Times New Roman"/>
              </w:rPr>
              <w:t xml:space="preserve">amparo indirecto en contra de diversos artículos de la Ley del </w:t>
            </w:r>
            <w:r w:rsidR="00926A47" w:rsidRPr="001B4B68">
              <w:rPr>
                <w:rFonts w:ascii="Arial Nova" w:hAnsi="Arial Nova" w:cs="Times New Roman"/>
              </w:rPr>
              <w:t>Impuesto sobre la Renta (LISR)</w:t>
            </w:r>
            <w:r w:rsidR="00324B45" w:rsidRPr="001B4B68">
              <w:rPr>
                <w:rFonts w:ascii="Arial Nova" w:hAnsi="Arial Nova" w:cs="Times New Roman"/>
              </w:rPr>
              <w:t>,</w:t>
            </w:r>
            <w:r w:rsidR="00926A47" w:rsidRPr="001B4B68">
              <w:rPr>
                <w:rStyle w:val="Refdenotaalpie"/>
                <w:rFonts w:ascii="Arial Nova" w:hAnsi="Arial Nova" w:cs="Times New Roman"/>
              </w:rPr>
              <w:footnoteReference w:id="1"/>
            </w:r>
            <w:r w:rsidR="00854CB9" w:rsidRPr="001B4B68">
              <w:rPr>
                <w:rFonts w:ascii="Arial Nova" w:hAnsi="Arial Nova" w:cs="Times New Roman"/>
              </w:rPr>
              <w:t xml:space="preserve"> entre estos, </w:t>
            </w:r>
            <w:r w:rsidR="00926A47" w:rsidRPr="001B4B68">
              <w:rPr>
                <w:rFonts w:ascii="Arial Nova" w:hAnsi="Arial Nova" w:cs="Times New Roman"/>
              </w:rPr>
              <w:t xml:space="preserve">el </w:t>
            </w:r>
            <w:r w:rsidR="00033000" w:rsidRPr="001B4B68">
              <w:rPr>
                <w:rFonts w:ascii="Arial Nova" w:hAnsi="Arial Nova" w:cs="Times New Roman"/>
              </w:rPr>
              <w:t>segundo párrafo del artículo 79</w:t>
            </w:r>
            <w:r w:rsidR="00324B45" w:rsidRPr="001B4B68">
              <w:rPr>
                <w:rFonts w:ascii="Arial Nova" w:hAnsi="Arial Nova" w:cs="Times New Roman"/>
              </w:rPr>
              <w:t>.</w:t>
            </w:r>
            <w:r w:rsidR="00024AC6" w:rsidRPr="001B4B68">
              <w:rPr>
                <w:rStyle w:val="Refdenotaalpie"/>
                <w:rFonts w:ascii="Arial Nova" w:hAnsi="Arial Nova" w:cs="Times New Roman"/>
              </w:rPr>
              <w:footnoteReference w:id="2"/>
            </w:r>
            <w:r w:rsidRPr="001B4B68">
              <w:rPr>
                <w:rFonts w:ascii="Arial Nova" w:hAnsi="Arial Nova" w:cs="Times New Roman"/>
              </w:rPr>
              <w:t xml:space="preserve"> E</w:t>
            </w:r>
            <w:r w:rsidR="00854CB9" w:rsidRPr="001B4B68">
              <w:rPr>
                <w:rFonts w:ascii="Arial Nova" w:hAnsi="Arial Nova" w:cs="Times New Roman"/>
              </w:rPr>
              <w:t xml:space="preserve">l Juez de Distrito sobreseyó el juicio por falta </w:t>
            </w:r>
            <w:r w:rsidR="00B918FF" w:rsidRPr="001B4B68">
              <w:rPr>
                <w:rFonts w:ascii="Arial Nova" w:hAnsi="Arial Nova" w:cs="Times New Roman"/>
              </w:rPr>
              <w:t xml:space="preserve">de interés jurídico de </w:t>
            </w:r>
            <w:r w:rsidR="00F06CB6" w:rsidRPr="001B4B68">
              <w:rPr>
                <w:rFonts w:ascii="Arial Nova" w:hAnsi="Arial Nova" w:cs="Times New Roman"/>
              </w:rPr>
              <w:t>la promovente</w:t>
            </w:r>
            <w:r w:rsidR="00926A47" w:rsidRPr="001B4B68">
              <w:rPr>
                <w:rFonts w:ascii="Arial Nova" w:hAnsi="Arial Nova" w:cs="Times New Roman"/>
              </w:rPr>
              <w:t>.</w:t>
            </w:r>
          </w:p>
          <w:p w14:paraId="34FC4D57" w14:textId="77777777" w:rsidR="004642F7" w:rsidRPr="001B4B68" w:rsidRDefault="004642F7" w:rsidP="00854CB9">
            <w:pPr>
              <w:jc w:val="both"/>
              <w:rPr>
                <w:rFonts w:ascii="Arial Nova" w:hAnsi="Arial Nova" w:cs="Times New Roman"/>
              </w:rPr>
            </w:pPr>
          </w:p>
          <w:p w14:paraId="6E0C9842" w14:textId="08926A19" w:rsidR="00854CB9" w:rsidRPr="001B4B68" w:rsidRDefault="004642F7" w:rsidP="00854CB9">
            <w:pPr>
              <w:jc w:val="both"/>
              <w:rPr>
                <w:rFonts w:ascii="Arial Nova" w:hAnsi="Arial Nova" w:cs="Times New Roman"/>
              </w:rPr>
            </w:pPr>
            <w:r w:rsidRPr="001B4B68">
              <w:rPr>
                <w:rFonts w:ascii="Arial Nova" w:hAnsi="Arial Nova" w:cs="Times New Roman"/>
              </w:rPr>
              <w:t xml:space="preserve">Inconforme con la resolución, la Asociación promovió recurso de revisión. </w:t>
            </w:r>
            <w:r w:rsidR="00F06CB6" w:rsidRPr="001B4B68">
              <w:rPr>
                <w:rFonts w:ascii="Arial Nova" w:hAnsi="Arial Nova" w:cs="Times New Roman"/>
              </w:rPr>
              <w:t>E</w:t>
            </w:r>
            <w:r w:rsidRPr="001B4B68">
              <w:rPr>
                <w:rFonts w:ascii="Arial Nova" w:hAnsi="Arial Nova" w:cs="Times New Roman"/>
              </w:rPr>
              <w:t xml:space="preserve">l Tribunal Colegiado que conoció </w:t>
            </w:r>
            <w:r w:rsidR="00F06CB6" w:rsidRPr="001B4B68">
              <w:rPr>
                <w:rFonts w:ascii="Arial Nova" w:hAnsi="Arial Nova" w:cs="Times New Roman"/>
              </w:rPr>
              <w:t>dicha revisión</w:t>
            </w:r>
            <w:r w:rsidRPr="001B4B68">
              <w:rPr>
                <w:rFonts w:ascii="Arial Nova" w:hAnsi="Arial Nova" w:cs="Times New Roman"/>
              </w:rPr>
              <w:t xml:space="preserve">, decidió levantar el sobreseimiento decretado </w:t>
            </w:r>
            <w:r w:rsidR="00854CB9" w:rsidRPr="001B4B68">
              <w:rPr>
                <w:rFonts w:ascii="Arial Nova" w:hAnsi="Arial Nova" w:cs="Times New Roman"/>
              </w:rPr>
              <w:t>parcialmente</w:t>
            </w:r>
            <w:r w:rsidRPr="001B4B68">
              <w:rPr>
                <w:rFonts w:ascii="Arial Nova" w:hAnsi="Arial Nova" w:cs="Times New Roman"/>
              </w:rPr>
              <w:t xml:space="preserve"> y</w:t>
            </w:r>
            <w:r w:rsidR="00854CB9" w:rsidRPr="001B4B68">
              <w:rPr>
                <w:rFonts w:ascii="Arial Nova" w:hAnsi="Arial Nova" w:cs="Times New Roman"/>
              </w:rPr>
              <w:t xml:space="preserve"> remitió el asunto a la Suprema Corte</w:t>
            </w:r>
            <w:r w:rsidRPr="001B4B68">
              <w:rPr>
                <w:rFonts w:ascii="Arial Nova" w:hAnsi="Arial Nova" w:cs="Times New Roman"/>
              </w:rPr>
              <w:t xml:space="preserve"> de Justicia de la Nación</w:t>
            </w:r>
            <w:r w:rsidR="00854CB9" w:rsidRPr="001B4B68">
              <w:rPr>
                <w:rFonts w:ascii="Arial Nova" w:hAnsi="Arial Nova" w:cs="Times New Roman"/>
              </w:rPr>
              <w:t>.</w:t>
            </w:r>
          </w:p>
          <w:p w14:paraId="743A02B3" w14:textId="77777777" w:rsidR="00854CB9" w:rsidRPr="001B4B68" w:rsidRDefault="00854CB9" w:rsidP="00854CB9">
            <w:pPr>
              <w:jc w:val="both"/>
              <w:rPr>
                <w:rFonts w:ascii="Arial Nova" w:hAnsi="Arial Nova" w:cs="Times New Roman"/>
              </w:rPr>
            </w:pPr>
          </w:p>
          <w:p w14:paraId="75C12A4F" w14:textId="4A2DA466" w:rsidR="00584C2F" w:rsidRPr="001B4B68" w:rsidRDefault="00854CB9" w:rsidP="00854CB9">
            <w:pPr>
              <w:jc w:val="both"/>
              <w:rPr>
                <w:rFonts w:ascii="Arial Nova" w:hAnsi="Arial Nova" w:cs="Times New Roman"/>
              </w:rPr>
            </w:pPr>
            <w:r w:rsidRPr="001B4B68">
              <w:rPr>
                <w:rFonts w:ascii="Arial Nova" w:hAnsi="Arial Nova" w:cs="Times New Roman"/>
              </w:rPr>
              <w:t xml:space="preserve">La Primera Sala </w:t>
            </w:r>
            <w:r w:rsidR="004642F7" w:rsidRPr="001B4B68">
              <w:rPr>
                <w:rFonts w:ascii="Arial Nova" w:hAnsi="Arial Nova" w:cs="Times New Roman"/>
              </w:rPr>
              <w:t>de</w:t>
            </w:r>
            <w:r w:rsidR="00F06CB6" w:rsidRPr="001B4B68">
              <w:rPr>
                <w:rFonts w:ascii="Arial Nova" w:hAnsi="Arial Nova" w:cs="Times New Roman"/>
              </w:rPr>
              <w:t>l</w:t>
            </w:r>
            <w:r w:rsidR="004642F7" w:rsidRPr="001B4B68">
              <w:rPr>
                <w:rFonts w:ascii="Arial Nova" w:hAnsi="Arial Nova" w:cs="Times New Roman"/>
              </w:rPr>
              <w:t xml:space="preserve"> Alto Tribunal, </w:t>
            </w:r>
            <w:r w:rsidRPr="001B4B68">
              <w:rPr>
                <w:rFonts w:ascii="Arial Nova" w:hAnsi="Arial Nova" w:cs="Times New Roman"/>
              </w:rPr>
              <w:t xml:space="preserve">reconoció la constitucionalidad del artículo 79, segundo párrafo de la LISR tras concluir que </w:t>
            </w:r>
            <w:r w:rsidR="00B918FF" w:rsidRPr="001B4B68">
              <w:rPr>
                <w:rFonts w:ascii="Arial Nova" w:hAnsi="Arial Nova" w:cs="Times New Roman"/>
              </w:rPr>
              <w:t xml:space="preserve">la norma persigue </w:t>
            </w:r>
            <w:r w:rsidRPr="001B4B68">
              <w:rPr>
                <w:rFonts w:ascii="Arial Nova" w:hAnsi="Arial Nova" w:cs="Times New Roman"/>
              </w:rPr>
              <w:t>un fin constitucionalme</w:t>
            </w:r>
            <w:r w:rsidR="00B6083A" w:rsidRPr="001B4B68">
              <w:rPr>
                <w:rFonts w:ascii="Arial Nova" w:hAnsi="Arial Nova" w:cs="Times New Roman"/>
              </w:rPr>
              <w:t>nte válido, racional y adecuado</w:t>
            </w:r>
            <w:r w:rsidRPr="001B4B68">
              <w:rPr>
                <w:rFonts w:ascii="Arial Nova" w:hAnsi="Arial Nova" w:cs="Times New Roman"/>
              </w:rPr>
              <w:t>.</w:t>
            </w:r>
          </w:p>
          <w:p w14:paraId="702C7D64" w14:textId="77777777" w:rsidR="00854CB9" w:rsidRPr="001B4B68" w:rsidRDefault="00854CB9" w:rsidP="00854CB9">
            <w:pPr>
              <w:jc w:val="both"/>
              <w:rPr>
                <w:rFonts w:ascii="Arial Nova" w:hAnsi="Arial Nova" w:cs="Times New Roman"/>
              </w:rPr>
            </w:pPr>
          </w:p>
          <w:p w14:paraId="068A96B6" w14:textId="2880F198" w:rsidR="0048582B" w:rsidRPr="001B4B68" w:rsidRDefault="0048582B" w:rsidP="006E1F3D">
            <w:pPr>
              <w:jc w:val="both"/>
              <w:rPr>
                <w:rFonts w:ascii="Times New Roman" w:hAnsi="Times New Roman" w:cs="Times New Roman"/>
                <w:sz w:val="20"/>
                <w:szCs w:val="20"/>
              </w:rPr>
            </w:pPr>
          </w:p>
        </w:tc>
      </w:tr>
    </w:tbl>
    <w:p w14:paraId="19F57796" w14:textId="4CC09C82" w:rsidR="0051268B" w:rsidRPr="001B4B68" w:rsidRDefault="0051268B" w:rsidP="000018A2">
      <w:pPr>
        <w:spacing w:after="0" w:line="240" w:lineRule="auto"/>
        <w:jc w:val="both"/>
        <w:rPr>
          <w:rFonts w:ascii="Arial Nova" w:hAnsi="Arial Nova" w:cs="Times New Roman"/>
          <w:sz w:val="24"/>
          <w:szCs w:val="24"/>
        </w:rPr>
      </w:pPr>
    </w:p>
    <w:p w14:paraId="1440F8E7" w14:textId="29092212" w:rsidR="006D5BEA" w:rsidRPr="001B4B68" w:rsidRDefault="006D5BEA" w:rsidP="000018A2">
      <w:pPr>
        <w:spacing w:after="0" w:line="240" w:lineRule="auto"/>
        <w:jc w:val="both"/>
        <w:rPr>
          <w:rFonts w:ascii="Arial Nova" w:hAnsi="Arial Nova" w:cs="Times New Roman"/>
          <w:sz w:val="24"/>
          <w:szCs w:val="24"/>
        </w:rPr>
      </w:pPr>
    </w:p>
    <w:p w14:paraId="5E6CE22E" w14:textId="704F988F" w:rsidR="006D5BEA" w:rsidRPr="001B4B68" w:rsidRDefault="006D5BEA" w:rsidP="000018A2">
      <w:pPr>
        <w:spacing w:after="0" w:line="240" w:lineRule="auto"/>
        <w:jc w:val="both"/>
        <w:rPr>
          <w:rFonts w:ascii="Arial Nova" w:hAnsi="Arial Nova" w:cs="Times New Roman"/>
          <w:sz w:val="24"/>
          <w:szCs w:val="24"/>
        </w:rPr>
      </w:pPr>
    </w:p>
    <w:p w14:paraId="389C8B07" w14:textId="0C745D5C" w:rsidR="006D5BEA" w:rsidRPr="001B4B68" w:rsidRDefault="006D5BEA" w:rsidP="000018A2">
      <w:pPr>
        <w:spacing w:after="0" w:line="240" w:lineRule="auto"/>
        <w:jc w:val="both"/>
        <w:rPr>
          <w:rFonts w:ascii="Arial Nova" w:hAnsi="Arial Nova" w:cs="Times New Roman"/>
          <w:sz w:val="24"/>
          <w:szCs w:val="24"/>
        </w:rPr>
      </w:pPr>
    </w:p>
    <w:p w14:paraId="672E5BED" w14:textId="561A99E8" w:rsidR="006D5BEA" w:rsidRPr="001B4B68" w:rsidRDefault="006D5BEA" w:rsidP="000018A2">
      <w:pPr>
        <w:spacing w:after="0" w:line="240" w:lineRule="auto"/>
        <w:jc w:val="both"/>
        <w:rPr>
          <w:rFonts w:ascii="Arial Nova" w:hAnsi="Arial Nova" w:cs="Times New Roman"/>
          <w:sz w:val="24"/>
          <w:szCs w:val="24"/>
        </w:rPr>
      </w:pPr>
    </w:p>
    <w:p w14:paraId="558F2CE6" w14:textId="45C72DE3" w:rsidR="006D5BEA" w:rsidRPr="001B4B68" w:rsidRDefault="006D5BEA" w:rsidP="000018A2">
      <w:pPr>
        <w:spacing w:after="0" w:line="240" w:lineRule="auto"/>
        <w:jc w:val="both"/>
        <w:rPr>
          <w:rFonts w:ascii="Arial Nova" w:hAnsi="Arial Nova" w:cs="Times New Roman"/>
          <w:sz w:val="24"/>
          <w:szCs w:val="24"/>
        </w:rPr>
      </w:pPr>
    </w:p>
    <w:p w14:paraId="05384219" w14:textId="1AC5F390" w:rsidR="006D5BEA" w:rsidRPr="001B4B68" w:rsidRDefault="006D5BEA" w:rsidP="000018A2">
      <w:pPr>
        <w:spacing w:after="0" w:line="240" w:lineRule="auto"/>
        <w:jc w:val="both"/>
        <w:rPr>
          <w:rFonts w:ascii="Arial Nova" w:hAnsi="Arial Nova" w:cs="Times New Roman"/>
          <w:sz w:val="24"/>
          <w:szCs w:val="24"/>
        </w:rPr>
      </w:pPr>
    </w:p>
    <w:p w14:paraId="371D8F50" w14:textId="77777777" w:rsidR="006D5BEA" w:rsidRPr="001B4B68" w:rsidRDefault="006D5BEA" w:rsidP="000018A2">
      <w:pPr>
        <w:spacing w:after="0" w:line="240" w:lineRule="auto"/>
        <w:jc w:val="both"/>
        <w:rPr>
          <w:rFonts w:ascii="Arial Nova" w:hAnsi="Arial Nova" w:cs="Times New Roman"/>
          <w:sz w:val="24"/>
          <w:szCs w:val="24"/>
        </w:rPr>
      </w:pPr>
    </w:p>
    <w:p w14:paraId="6F01244D" w14:textId="752E8746" w:rsidR="00AD1806" w:rsidRPr="001B4B68"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1B4B68">
        <w:rPr>
          <w:rFonts w:ascii="Arial Nova" w:hAnsi="Arial Nova" w:cs="Times New Roman"/>
          <w:b/>
          <w:bCs/>
          <w:smallCaps/>
          <w:color w:val="000F2E"/>
          <w:sz w:val="28"/>
          <w:szCs w:val="28"/>
        </w:rPr>
        <w:lastRenderedPageBreak/>
        <w:t>A</w:t>
      </w:r>
      <w:r w:rsidRPr="001B4B68">
        <w:rPr>
          <w:rFonts w:ascii="Arial Nova" w:hAnsi="Arial Nova" w:cs="Times New Roman"/>
          <w:b/>
          <w:bCs/>
          <w:smallCaps/>
          <w:color w:val="000F2E"/>
          <w:sz w:val="24"/>
          <w:szCs w:val="24"/>
        </w:rPr>
        <w:t>ntecedentes:</w:t>
      </w:r>
    </w:p>
    <w:p w14:paraId="65736F69" w14:textId="4A64F869" w:rsidR="00AF51B8" w:rsidRPr="001B4B68" w:rsidRDefault="00AF51B8" w:rsidP="000018A2">
      <w:pPr>
        <w:spacing w:after="0" w:line="240" w:lineRule="auto"/>
        <w:jc w:val="both"/>
        <w:rPr>
          <w:rFonts w:ascii="Arial Nova" w:hAnsi="Arial Nova" w:cs="Times New Roman"/>
          <w:sz w:val="24"/>
          <w:szCs w:val="24"/>
        </w:rPr>
      </w:pPr>
    </w:p>
    <w:p w14:paraId="5E222E07" w14:textId="464389C7" w:rsidR="00854CB9" w:rsidRPr="001B4B68" w:rsidRDefault="00B6083A" w:rsidP="00854CB9">
      <w:pPr>
        <w:spacing w:after="0" w:line="240" w:lineRule="auto"/>
        <w:jc w:val="both"/>
        <w:rPr>
          <w:rFonts w:ascii="Arial Nova" w:hAnsi="Arial Nova" w:cs="Times New Roman"/>
          <w:sz w:val="24"/>
          <w:szCs w:val="24"/>
        </w:rPr>
      </w:pPr>
      <w:r w:rsidRPr="001B4B68">
        <w:rPr>
          <w:rFonts w:ascii="Arial Nova" w:hAnsi="Arial Nova" w:cs="Times New Roman"/>
          <w:sz w:val="24"/>
          <w:szCs w:val="24"/>
        </w:rPr>
        <w:t>El asunto tuvo</w:t>
      </w:r>
      <w:r w:rsidR="00854CB9" w:rsidRPr="001B4B68">
        <w:rPr>
          <w:rFonts w:ascii="Arial Nova" w:hAnsi="Arial Nova" w:cs="Times New Roman"/>
          <w:sz w:val="24"/>
          <w:szCs w:val="24"/>
        </w:rPr>
        <w:t xml:space="preserve"> su origen e</w:t>
      </w:r>
      <w:r w:rsidRPr="001B4B68">
        <w:rPr>
          <w:rFonts w:ascii="Arial Nova" w:hAnsi="Arial Nova" w:cs="Times New Roman"/>
          <w:sz w:val="24"/>
          <w:szCs w:val="24"/>
        </w:rPr>
        <w:t xml:space="preserve">n un juicio de amparo indirecto </w:t>
      </w:r>
      <w:r w:rsidR="0032265F" w:rsidRPr="001B4B68">
        <w:rPr>
          <w:rFonts w:ascii="Arial Nova" w:hAnsi="Arial Nova" w:cs="Times New Roman"/>
          <w:sz w:val="24"/>
          <w:szCs w:val="24"/>
        </w:rPr>
        <w:t>promovido por una Asociación C</w:t>
      </w:r>
      <w:r w:rsidR="00854CB9" w:rsidRPr="001B4B68">
        <w:rPr>
          <w:rFonts w:ascii="Arial Nova" w:hAnsi="Arial Nova" w:cs="Times New Roman"/>
          <w:sz w:val="24"/>
          <w:szCs w:val="24"/>
        </w:rPr>
        <w:t xml:space="preserve">ivil en contra de diversos artículos de la Ley del Impuesto sobre la Renta, entre estos, el </w:t>
      </w:r>
      <w:r w:rsidR="0032265F" w:rsidRPr="001B4B68">
        <w:rPr>
          <w:rFonts w:ascii="Arial Nova" w:hAnsi="Arial Nova" w:cs="Times New Roman"/>
          <w:sz w:val="24"/>
          <w:szCs w:val="24"/>
        </w:rPr>
        <w:t xml:space="preserve">segundo párrafo del </w:t>
      </w:r>
      <w:r w:rsidR="00854CB9" w:rsidRPr="001B4B68">
        <w:rPr>
          <w:rFonts w:ascii="Arial Nova" w:hAnsi="Arial Nova" w:cs="Times New Roman"/>
          <w:sz w:val="24"/>
          <w:szCs w:val="24"/>
        </w:rPr>
        <w:t>artículo 79</w:t>
      </w:r>
      <w:r w:rsidR="0032265F" w:rsidRPr="001B4B68">
        <w:rPr>
          <w:rFonts w:ascii="Arial Nova" w:hAnsi="Arial Nova" w:cs="Times New Roman"/>
          <w:sz w:val="24"/>
          <w:szCs w:val="24"/>
        </w:rPr>
        <w:t>.</w:t>
      </w:r>
      <w:r w:rsidR="00854CB9" w:rsidRPr="001B4B68">
        <w:rPr>
          <w:rFonts w:ascii="Arial Nova" w:hAnsi="Arial Nova" w:cs="Times New Roman"/>
          <w:sz w:val="24"/>
          <w:szCs w:val="24"/>
        </w:rPr>
        <w:t xml:space="preserve"> </w:t>
      </w:r>
      <w:r w:rsidR="0032265F" w:rsidRPr="001B4B68">
        <w:rPr>
          <w:rFonts w:ascii="Arial Nova" w:hAnsi="Arial Nova" w:cs="Times New Roman"/>
          <w:sz w:val="24"/>
          <w:szCs w:val="24"/>
        </w:rPr>
        <w:t xml:space="preserve">La porción normativa impugnada, </w:t>
      </w:r>
      <w:r w:rsidRPr="001B4B68">
        <w:rPr>
          <w:rFonts w:ascii="Arial Nova" w:hAnsi="Arial Nova" w:cs="Times New Roman"/>
          <w:sz w:val="24"/>
          <w:szCs w:val="24"/>
        </w:rPr>
        <w:t>establec</w:t>
      </w:r>
      <w:r w:rsidR="00F06CB6" w:rsidRPr="001B4B68">
        <w:rPr>
          <w:rFonts w:ascii="Arial Nova" w:hAnsi="Arial Nova" w:cs="Times New Roman"/>
          <w:sz w:val="24"/>
          <w:szCs w:val="24"/>
        </w:rPr>
        <w:t>ía</w:t>
      </w:r>
      <w:r w:rsidRPr="001B4B68">
        <w:rPr>
          <w:rFonts w:ascii="Arial Nova" w:hAnsi="Arial Nova" w:cs="Times New Roman"/>
          <w:sz w:val="24"/>
          <w:szCs w:val="24"/>
        </w:rPr>
        <w:t xml:space="preserve"> </w:t>
      </w:r>
      <w:r w:rsidR="00452229" w:rsidRPr="001B4B68">
        <w:rPr>
          <w:rFonts w:ascii="Arial Nova" w:hAnsi="Arial Nova" w:cs="Times New Roman"/>
          <w:sz w:val="24"/>
          <w:szCs w:val="24"/>
        </w:rPr>
        <w:t>que la</w:t>
      </w:r>
      <w:r w:rsidRPr="001B4B68">
        <w:rPr>
          <w:rFonts w:ascii="Arial Nova" w:hAnsi="Arial Nova" w:cs="Times New Roman"/>
          <w:sz w:val="24"/>
          <w:szCs w:val="24"/>
        </w:rPr>
        <w:t>s personas mor</w:t>
      </w:r>
      <w:r w:rsidR="00452229" w:rsidRPr="001B4B68">
        <w:rPr>
          <w:rFonts w:ascii="Arial Nova" w:hAnsi="Arial Nova" w:cs="Times New Roman"/>
          <w:sz w:val="24"/>
          <w:szCs w:val="24"/>
        </w:rPr>
        <w:t xml:space="preserve">ales con fines no </w:t>
      </w:r>
      <w:r w:rsidR="00F41042" w:rsidRPr="001B4B68">
        <w:rPr>
          <w:rFonts w:ascii="Arial Nova" w:hAnsi="Arial Nova" w:cs="Times New Roman"/>
          <w:sz w:val="24"/>
          <w:szCs w:val="24"/>
        </w:rPr>
        <w:t>lucrativos</w:t>
      </w:r>
      <w:r w:rsidR="0032265F" w:rsidRPr="001B4B68">
        <w:rPr>
          <w:rFonts w:ascii="Arial Nova" w:hAnsi="Arial Nova" w:cs="Times New Roman"/>
          <w:sz w:val="24"/>
          <w:szCs w:val="24"/>
        </w:rPr>
        <w:t xml:space="preserve"> no podían deducir aquellos </w:t>
      </w:r>
      <w:r w:rsidR="00452229" w:rsidRPr="001B4B68">
        <w:rPr>
          <w:rFonts w:ascii="Arial Nova" w:hAnsi="Arial Nova" w:cs="Times New Roman"/>
          <w:sz w:val="24"/>
          <w:szCs w:val="24"/>
        </w:rPr>
        <w:t xml:space="preserve">gastos </w:t>
      </w:r>
      <w:r w:rsidR="0032265F" w:rsidRPr="001B4B68">
        <w:rPr>
          <w:rFonts w:ascii="Arial Nova" w:hAnsi="Arial Nova" w:cs="Times New Roman"/>
          <w:sz w:val="24"/>
          <w:szCs w:val="24"/>
        </w:rPr>
        <w:t xml:space="preserve">que no estuvieran amparados por </w:t>
      </w:r>
      <w:r w:rsidR="00686D67" w:rsidRPr="001B4B68">
        <w:rPr>
          <w:rFonts w:ascii="Arial Nova" w:hAnsi="Arial Nova" w:cs="Times New Roman"/>
          <w:sz w:val="24"/>
          <w:szCs w:val="24"/>
        </w:rPr>
        <w:t>u</w:t>
      </w:r>
      <w:r w:rsidR="0032265F" w:rsidRPr="001B4B68">
        <w:rPr>
          <w:rFonts w:ascii="Arial Nova" w:hAnsi="Arial Nova" w:cs="Times New Roman"/>
          <w:sz w:val="24"/>
          <w:szCs w:val="24"/>
        </w:rPr>
        <w:t>n</w:t>
      </w:r>
      <w:r w:rsidR="00452229" w:rsidRPr="001B4B68">
        <w:rPr>
          <w:rFonts w:ascii="Arial Nova" w:hAnsi="Arial Nova" w:cs="Times New Roman"/>
          <w:sz w:val="24"/>
          <w:szCs w:val="24"/>
        </w:rPr>
        <w:t xml:space="preserve"> comprobante fiscal o que </w:t>
      </w:r>
      <w:r w:rsidR="00CE2CAE" w:rsidRPr="001B4B68">
        <w:rPr>
          <w:rFonts w:ascii="Arial Nova" w:hAnsi="Arial Nova" w:cs="Times New Roman"/>
          <w:sz w:val="24"/>
          <w:szCs w:val="24"/>
        </w:rPr>
        <w:t xml:space="preserve">hubieran </w:t>
      </w:r>
      <w:r w:rsidR="00452229" w:rsidRPr="001B4B68">
        <w:rPr>
          <w:rFonts w:ascii="Arial Nova" w:hAnsi="Arial Nova" w:cs="Times New Roman"/>
          <w:sz w:val="24"/>
          <w:szCs w:val="24"/>
        </w:rPr>
        <w:t>sido pagadas en efectivo y el monto super</w:t>
      </w:r>
      <w:r w:rsidR="00F06CB6" w:rsidRPr="001B4B68">
        <w:rPr>
          <w:rFonts w:ascii="Arial Nova" w:hAnsi="Arial Nova" w:cs="Times New Roman"/>
          <w:sz w:val="24"/>
          <w:szCs w:val="24"/>
        </w:rPr>
        <w:t>a</w:t>
      </w:r>
      <w:r w:rsidR="006D5BEA" w:rsidRPr="001B4B68">
        <w:rPr>
          <w:rFonts w:ascii="Arial Nova" w:hAnsi="Arial Nova" w:cs="Times New Roman"/>
          <w:sz w:val="24"/>
          <w:szCs w:val="24"/>
        </w:rPr>
        <w:t>r</w:t>
      </w:r>
      <w:r w:rsidR="00F06CB6" w:rsidRPr="001B4B68">
        <w:rPr>
          <w:rFonts w:ascii="Arial Nova" w:hAnsi="Arial Nova" w:cs="Times New Roman"/>
          <w:sz w:val="24"/>
          <w:szCs w:val="24"/>
        </w:rPr>
        <w:t>a</w:t>
      </w:r>
      <w:r w:rsidR="00452229" w:rsidRPr="001B4B68">
        <w:rPr>
          <w:rFonts w:ascii="Arial Nova" w:hAnsi="Arial Nova" w:cs="Times New Roman"/>
          <w:sz w:val="24"/>
          <w:szCs w:val="24"/>
        </w:rPr>
        <w:t xml:space="preserve"> </w:t>
      </w:r>
      <w:r w:rsidR="0032265F" w:rsidRPr="001B4B68">
        <w:rPr>
          <w:rFonts w:ascii="Arial Nova" w:hAnsi="Arial Nova" w:cs="Times New Roman"/>
          <w:sz w:val="24"/>
          <w:szCs w:val="24"/>
        </w:rPr>
        <w:t xml:space="preserve">los </w:t>
      </w:r>
      <w:r w:rsidR="00452229" w:rsidRPr="001B4B68">
        <w:rPr>
          <w:rFonts w:ascii="Arial Nova" w:hAnsi="Arial Nova" w:cs="Times New Roman"/>
          <w:sz w:val="24"/>
          <w:szCs w:val="24"/>
        </w:rPr>
        <w:t>dos mil pesos</w:t>
      </w:r>
      <w:r w:rsidRPr="001B4B68">
        <w:rPr>
          <w:rFonts w:ascii="Arial Nova" w:hAnsi="Arial Nova" w:cs="Times New Roman"/>
          <w:sz w:val="24"/>
          <w:szCs w:val="24"/>
        </w:rPr>
        <w:t>.</w:t>
      </w:r>
    </w:p>
    <w:p w14:paraId="50B8EC54" w14:textId="77777777" w:rsidR="006D5BEA" w:rsidRPr="001B4B68" w:rsidRDefault="006D5BEA" w:rsidP="00854CB9">
      <w:pPr>
        <w:spacing w:after="0" w:line="240" w:lineRule="auto"/>
        <w:jc w:val="both"/>
        <w:rPr>
          <w:rFonts w:ascii="Arial Nova" w:hAnsi="Arial Nova" w:cs="Times New Roman"/>
          <w:sz w:val="24"/>
          <w:szCs w:val="24"/>
        </w:rPr>
      </w:pPr>
    </w:p>
    <w:p w14:paraId="604CB1BC" w14:textId="280982AB" w:rsidR="00854CB9" w:rsidRPr="001B4B68" w:rsidRDefault="0032265F" w:rsidP="00854CB9">
      <w:pPr>
        <w:spacing w:after="0" w:line="240" w:lineRule="auto"/>
        <w:jc w:val="both"/>
        <w:rPr>
          <w:rFonts w:ascii="Arial Nova" w:hAnsi="Arial Nova" w:cs="Times New Roman"/>
          <w:sz w:val="24"/>
          <w:szCs w:val="24"/>
        </w:rPr>
      </w:pPr>
      <w:r w:rsidRPr="001B4B68">
        <w:rPr>
          <w:rFonts w:ascii="Arial Nova" w:hAnsi="Arial Nova" w:cs="Times New Roman"/>
          <w:sz w:val="24"/>
          <w:szCs w:val="24"/>
        </w:rPr>
        <w:t xml:space="preserve">El Juez de Distrito </w:t>
      </w:r>
      <w:r w:rsidR="00F06CB6" w:rsidRPr="001B4B68">
        <w:rPr>
          <w:rFonts w:ascii="Arial Nova" w:hAnsi="Arial Nova" w:cs="Times New Roman"/>
          <w:sz w:val="24"/>
          <w:szCs w:val="24"/>
        </w:rPr>
        <w:t xml:space="preserve">que resolvió </w:t>
      </w:r>
      <w:r w:rsidR="002C41D3" w:rsidRPr="001B4B68">
        <w:rPr>
          <w:rFonts w:ascii="Arial Nova" w:hAnsi="Arial Nova" w:cs="Times New Roman"/>
          <w:sz w:val="24"/>
          <w:szCs w:val="24"/>
        </w:rPr>
        <w:t>el juicio</w:t>
      </w:r>
      <w:r w:rsidRPr="001B4B68">
        <w:rPr>
          <w:rFonts w:ascii="Arial Nova" w:hAnsi="Arial Nova" w:cs="Times New Roman"/>
          <w:sz w:val="24"/>
          <w:szCs w:val="24"/>
        </w:rPr>
        <w:t xml:space="preserve"> decidió sobreseer el asunto </w:t>
      </w:r>
      <w:r w:rsidR="00854CB9" w:rsidRPr="001B4B68">
        <w:rPr>
          <w:rFonts w:ascii="Arial Nova" w:hAnsi="Arial Nova" w:cs="Times New Roman"/>
          <w:sz w:val="24"/>
          <w:szCs w:val="24"/>
        </w:rPr>
        <w:t>al considerar que</w:t>
      </w:r>
      <w:r w:rsidR="001757EE" w:rsidRPr="001B4B68">
        <w:rPr>
          <w:rFonts w:ascii="Arial Nova" w:hAnsi="Arial Nova" w:cs="Times New Roman"/>
          <w:sz w:val="24"/>
          <w:szCs w:val="24"/>
        </w:rPr>
        <w:t xml:space="preserve"> se trataba de una norma </w:t>
      </w:r>
      <w:r w:rsidR="00055B89" w:rsidRPr="001B4B68">
        <w:rPr>
          <w:rFonts w:ascii="Arial Nova" w:hAnsi="Arial Nova" w:cs="Times New Roman"/>
          <w:sz w:val="24"/>
          <w:szCs w:val="24"/>
        </w:rPr>
        <w:t>que necesitaba de un acto de aplicación para poder accionar el juicio</w:t>
      </w:r>
      <w:r w:rsidR="0049636B" w:rsidRPr="001B4B68">
        <w:rPr>
          <w:rFonts w:ascii="Arial Nova" w:hAnsi="Arial Nova" w:cs="Times New Roman"/>
          <w:sz w:val="24"/>
          <w:szCs w:val="24"/>
        </w:rPr>
        <w:t>, por lo que</w:t>
      </w:r>
      <w:r w:rsidR="001757EE" w:rsidRPr="001B4B68">
        <w:rPr>
          <w:rFonts w:ascii="Arial Nova" w:hAnsi="Arial Nova" w:cs="Times New Roman"/>
          <w:sz w:val="24"/>
          <w:szCs w:val="24"/>
        </w:rPr>
        <w:t xml:space="preserve"> l</w:t>
      </w:r>
      <w:r w:rsidR="00854CB9" w:rsidRPr="001B4B68">
        <w:rPr>
          <w:rFonts w:ascii="Arial Nova" w:hAnsi="Arial Nova" w:cs="Times New Roman"/>
          <w:sz w:val="24"/>
          <w:szCs w:val="24"/>
        </w:rPr>
        <w:t xml:space="preserve">a quejosa </w:t>
      </w:r>
      <w:r w:rsidR="0049636B" w:rsidRPr="001B4B68">
        <w:rPr>
          <w:rFonts w:ascii="Arial Nova" w:hAnsi="Arial Nova" w:cs="Times New Roman"/>
          <w:sz w:val="24"/>
          <w:szCs w:val="24"/>
        </w:rPr>
        <w:t>no podía impugnar la Ley por su mera entrada en vigor</w:t>
      </w:r>
      <w:r w:rsidRPr="001B4B68">
        <w:rPr>
          <w:rFonts w:ascii="Arial Nova" w:hAnsi="Arial Nova" w:cs="Times New Roman"/>
          <w:sz w:val="24"/>
          <w:szCs w:val="24"/>
        </w:rPr>
        <w:t>. En contra de la decisión anterior, la A</w:t>
      </w:r>
      <w:r w:rsidR="00854CB9" w:rsidRPr="001B4B68">
        <w:rPr>
          <w:rFonts w:ascii="Arial Nova" w:hAnsi="Arial Nova" w:cs="Times New Roman"/>
          <w:sz w:val="24"/>
          <w:szCs w:val="24"/>
        </w:rPr>
        <w:t>sociación interpuso recurso de revisión.</w:t>
      </w:r>
    </w:p>
    <w:p w14:paraId="794B686A" w14:textId="77777777" w:rsidR="00854CB9" w:rsidRPr="001B4B68" w:rsidRDefault="00854CB9" w:rsidP="00854CB9">
      <w:pPr>
        <w:spacing w:after="0" w:line="240" w:lineRule="auto"/>
        <w:jc w:val="both"/>
        <w:rPr>
          <w:rFonts w:ascii="Arial Nova" w:hAnsi="Arial Nova" w:cs="Times New Roman"/>
          <w:sz w:val="24"/>
          <w:szCs w:val="24"/>
        </w:rPr>
      </w:pPr>
    </w:p>
    <w:p w14:paraId="71B6A7B1" w14:textId="598650B6" w:rsidR="00C87D99" w:rsidRPr="001B4B68" w:rsidRDefault="00854CB9" w:rsidP="00854CB9">
      <w:pPr>
        <w:spacing w:after="0" w:line="240" w:lineRule="auto"/>
        <w:jc w:val="both"/>
        <w:rPr>
          <w:rFonts w:ascii="Arial Nova" w:hAnsi="Arial Nova" w:cs="Times New Roman"/>
          <w:sz w:val="24"/>
          <w:szCs w:val="24"/>
        </w:rPr>
      </w:pPr>
      <w:r w:rsidRPr="001B4B68">
        <w:rPr>
          <w:rFonts w:ascii="Arial Nova" w:hAnsi="Arial Nova" w:cs="Times New Roman"/>
          <w:sz w:val="24"/>
          <w:szCs w:val="24"/>
        </w:rPr>
        <w:t xml:space="preserve">El Tribunal Colegiado </w:t>
      </w:r>
      <w:r w:rsidR="006D5BEA" w:rsidRPr="001B4B68">
        <w:rPr>
          <w:rFonts w:ascii="Arial Nova" w:hAnsi="Arial Nova" w:cs="Times New Roman"/>
          <w:sz w:val="24"/>
          <w:szCs w:val="24"/>
        </w:rPr>
        <w:t>del conocimiento</w:t>
      </w:r>
      <w:r w:rsidR="0032265F" w:rsidRPr="001B4B68">
        <w:rPr>
          <w:rFonts w:ascii="Arial Nova" w:hAnsi="Arial Nova" w:cs="Times New Roman"/>
          <w:sz w:val="24"/>
          <w:szCs w:val="24"/>
        </w:rPr>
        <w:t xml:space="preserve">, </w:t>
      </w:r>
      <w:r w:rsidRPr="001B4B68">
        <w:rPr>
          <w:rFonts w:ascii="Arial Nova" w:hAnsi="Arial Nova" w:cs="Times New Roman"/>
          <w:sz w:val="24"/>
          <w:szCs w:val="24"/>
        </w:rPr>
        <w:t xml:space="preserve">revocó el sobreseimiento, </w:t>
      </w:r>
      <w:r w:rsidR="00452229" w:rsidRPr="001B4B68">
        <w:rPr>
          <w:rFonts w:ascii="Arial Nova" w:hAnsi="Arial Nova" w:cs="Times New Roman"/>
          <w:sz w:val="24"/>
          <w:szCs w:val="24"/>
        </w:rPr>
        <w:t xml:space="preserve">respecto al </w:t>
      </w:r>
      <w:r w:rsidRPr="001B4B68">
        <w:rPr>
          <w:rFonts w:ascii="Arial Nova" w:hAnsi="Arial Nova" w:cs="Times New Roman"/>
          <w:sz w:val="24"/>
          <w:szCs w:val="24"/>
        </w:rPr>
        <w:t>artículo 79, segundo párra</w:t>
      </w:r>
      <w:r w:rsidR="0032265F" w:rsidRPr="001B4B68">
        <w:rPr>
          <w:rFonts w:ascii="Arial Nova" w:hAnsi="Arial Nova" w:cs="Times New Roman"/>
          <w:sz w:val="24"/>
          <w:szCs w:val="24"/>
        </w:rPr>
        <w:t>fo.</w:t>
      </w:r>
      <w:r w:rsidR="00735FC2" w:rsidRPr="001B4B68">
        <w:rPr>
          <w:rFonts w:ascii="Arial Nova" w:hAnsi="Arial Nova" w:cs="Times New Roman"/>
          <w:sz w:val="24"/>
          <w:szCs w:val="24"/>
        </w:rPr>
        <w:t xml:space="preserve"> </w:t>
      </w:r>
      <w:r w:rsidR="006D5BEA" w:rsidRPr="001B4B68">
        <w:rPr>
          <w:rFonts w:ascii="Arial Nova" w:hAnsi="Arial Nova" w:cs="Times New Roman"/>
          <w:sz w:val="24"/>
          <w:szCs w:val="24"/>
        </w:rPr>
        <w:t>Sin embargo</w:t>
      </w:r>
      <w:r w:rsidR="002753DB" w:rsidRPr="001B4B68">
        <w:rPr>
          <w:rFonts w:ascii="Arial Nova" w:hAnsi="Arial Nova" w:cs="Times New Roman"/>
          <w:sz w:val="24"/>
          <w:szCs w:val="24"/>
        </w:rPr>
        <w:t>,</w:t>
      </w:r>
      <w:r w:rsidRPr="001B4B68">
        <w:rPr>
          <w:rFonts w:ascii="Arial Nova" w:hAnsi="Arial Nova" w:cs="Times New Roman"/>
          <w:sz w:val="24"/>
          <w:szCs w:val="24"/>
        </w:rPr>
        <w:t xml:space="preserve"> al subsistir un tema de constitucionalidad</w:t>
      </w:r>
      <w:r w:rsidR="006D5BEA" w:rsidRPr="001B4B68">
        <w:rPr>
          <w:rFonts w:ascii="Arial Nova" w:hAnsi="Arial Nova" w:cs="Times New Roman"/>
          <w:sz w:val="24"/>
          <w:szCs w:val="24"/>
        </w:rPr>
        <w:t>,</w:t>
      </w:r>
      <w:r w:rsidRPr="001B4B68">
        <w:rPr>
          <w:rFonts w:ascii="Arial Nova" w:hAnsi="Arial Nova" w:cs="Times New Roman"/>
          <w:sz w:val="24"/>
          <w:szCs w:val="24"/>
        </w:rPr>
        <w:t xml:space="preserve"> remitió el asunto a la Suprema Corte</w:t>
      </w:r>
      <w:r w:rsidR="00686D67" w:rsidRPr="001B4B68">
        <w:rPr>
          <w:rFonts w:ascii="Arial Nova" w:hAnsi="Arial Nova" w:cs="Times New Roman"/>
          <w:sz w:val="24"/>
          <w:szCs w:val="24"/>
        </w:rPr>
        <w:t xml:space="preserve"> para que </w:t>
      </w:r>
      <w:r w:rsidR="006D5BEA" w:rsidRPr="001B4B68">
        <w:rPr>
          <w:rFonts w:ascii="Arial Nova" w:hAnsi="Arial Nova" w:cs="Times New Roman"/>
          <w:sz w:val="24"/>
          <w:szCs w:val="24"/>
        </w:rPr>
        <w:t>é</w:t>
      </w:r>
      <w:r w:rsidR="00686D67" w:rsidRPr="001B4B68">
        <w:rPr>
          <w:rFonts w:ascii="Arial Nova" w:hAnsi="Arial Nova" w:cs="Times New Roman"/>
          <w:sz w:val="24"/>
          <w:szCs w:val="24"/>
        </w:rPr>
        <w:t>st</w:t>
      </w:r>
      <w:r w:rsidR="00735FC2" w:rsidRPr="001B4B68">
        <w:rPr>
          <w:rFonts w:ascii="Arial Nova" w:hAnsi="Arial Nova" w:cs="Times New Roman"/>
          <w:sz w:val="24"/>
          <w:szCs w:val="24"/>
        </w:rPr>
        <w:t>a</w:t>
      </w:r>
      <w:r w:rsidR="00686D67" w:rsidRPr="001B4B68">
        <w:rPr>
          <w:rFonts w:ascii="Arial Nova" w:hAnsi="Arial Nova" w:cs="Times New Roman"/>
          <w:sz w:val="24"/>
          <w:szCs w:val="24"/>
        </w:rPr>
        <w:t xml:space="preserve"> decidiera sobre la </w:t>
      </w:r>
      <w:r w:rsidR="00735FC2" w:rsidRPr="001B4B68">
        <w:rPr>
          <w:rFonts w:ascii="Arial Nova" w:hAnsi="Arial Nova" w:cs="Times New Roman"/>
          <w:sz w:val="24"/>
          <w:szCs w:val="24"/>
        </w:rPr>
        <w:t xml:space="preserve">regularidad </w:t>
      </w:r>
      <w:r w:rsidR="00686D67" w:rsidRPr="001B4B68">
        <w:rPr>
          <w:rFonts w:ascii="Arial Nova" w:hAnsi="Arial Nova" w:cs="Times New Roman"/>
          <w:sz w:val="24"/>
          <w:szCs w:val="24"/>
        </w:rPr>
        <w:t>de la norma</w:t>
      </w:r>
      <w:r w:rsidRPr="001B4B68">
        <w:rPr>
          <w:rFonts w:ascii="Arial Nova" w:hAnsi="Arial Nova" w:cs="Times New Roman"/>
          <w:sz w:val="24"/>
          <w:szCs w:val="24"/>
        </w:rPr>
        <w:t>.</w:t>
      </w:r>
    </w:p>
    <w:p w14:paraId="71E551C1" w14:textId="77777777" w:rsidR="00BA4D8A" w:rsidRPr="001B4B68" w:rsidRDefault="00BA4D8A" w:rsidP="00854CB9">
      <w:pPr>
        <w:spacing w:after="0" w:line="240" w:lineRule="auto"/>
        <w:jc w:val="both"/>
        <w:rPr>
          <w:rFonts w:ascii="Arial Nova" w:hAnsi="Arial Nova" w:cs="Times New Roman"/>
          <w:sz w:val="24"/>
          <w:szCs w:val="24"/>
        </w:rPr>
      </w:pPr>
    </w:p>
    <w:p w14:paraId="6BA52939" w14:textId="4CDF03DC" w:rsidR="0048582B" w:rsidRPr="001B4B68" w:rsidRDefault="00B323DA" w:rsidP="00854CB9">
      <w:pPr>
        <w:shd w:val="clear" w:color="auto" w:fill="B4C6E7" w:themeFill="accent1" w:themeFillTint="66"/>
        <w:spacing w:after="0" w:line="240" w:lineRule="auto"/>
        <w:jc w:val="right"/>
        <w:rPr>
          <w:rFonts w:ascii="Arial Nova" w:hAnsi="Arial Nova" w:cs="Times New Roman"/>
          <w:smallCaps/>
          <w:color w:val="000F2E"/>
          <w:sz w:val="24"/>
          <w:szCs w:val="24"/>
        </w:rPr>
      </w:pPr>
      <w:r w:rsidRPr="001B4B68">
        <w:rPr>
          <w:rFonts w:ascii="Arial Nova" w:hAnsi="Arial Nova" w:cs="Times New Roman"/>
          <w:b/>
          <w:bCs/>
          <w:smallCaps/>
          <w:color w:val="000F2E"/>
          <w:sz w:val="28"/>
          <w:szCs w:val="28"/>
        </w:rPr>
        <w:t>D</w:t>
      </w:r>
      <w:r w:rsidRPr="001B4B68">
        <w:rPr>
          <w:rFonts w:ascii="Arial Nova" w:hAnsi="Arial Nova" w:cs="Times New Roman"/>
          <w:b/>
          <w:bCs/>
          <w:smallCaps/>
          <w:color w:val="000F2E"/>
          <w:sz w:val="24"/>
          <w:szCs w:val="24"/>
        </w:rPr>
        <w:t xml:space="preserve">ecisión de la </w:t>
      </w:r>
      <w:r w:rsidRPr="001B4B68">
        <w:rPr>
          <w:rFonts w:ascii="Arial Nova" w:hAnsi="Arial Nova" w:cs="Times New Roman"/>
          <w:b/>
          <w:bCs/>
          <w:smallCaps/>
          <w:color w:val="000F2E"/>
          <w:sz w:val="28"/>
          <w:szCs w:val="28"/>
        </w:rPr>
        <w:t>S</w:t>
      </w:r>
      <w:r w:rsidRPr="001B4B68">
        <w:rPr>
          <w:rFonts w:ascii="Arial Nova" w:hAnsi="Arial Nova" w:cs="Times New Roman"/>
          <w:b/>
          <w:bCs/>
          <w:smallCaps/>
          <w:color w:val="000F2E"/>
          <w:sz w:val="24"/>
          <w:szCs w:val="24"/>
        </w:rPr>
        <w:t>ala:</w:t>
      </w:r>
    </w:p>
    <w:p w14:paraId="76D25F2C" w14:textId="77777777" w:rsidR="0048582B" w:rsidRPr="001B4B68" w:rsidRDefault="0048582B" w:rsidP="00854CB9">
      <w:pPr>
        <w:spacing w:after="0" w:line="240" w:lineRule="auto"/>
        <w:jc w:val="both"/>
        <w:rPr>
          <w:rFonts w:ascii="Arial Nova" w:hAnsi="Arial Nova" w:cs="Times New Roman"/>
          <w:b/>
          <w:bCs/>
          <w:sz w:val="24"/>
          <w:szCs w:val="24"/>
          <w:shd w:val="clear" w:color="auto" w:fill="B4C6E7" w:themeFill="accent1" w:themeFillTint="66"/>
        </w:rPr>
      </w:pPr>
    </w:p>
    <w:p w14:paraId="1C64EA25" w14:textId="2BF40334" w:rsidR="00854CB9" w:rsidRPr="001B4B68" w:rsidRDefault="001D2111" w:rsidP="00854CB9">
      <w:pPr>
        <w:spacing w:after="0" w:line="240" w:lineRule="auto"/>
        <w:jc w:val="both"/>
        <w:rPr>
          <w:rFonts w:ascii="Arial Nova" w:hAnsi="Arial Nova" w:cs="Times New Roman"/>
          <w:sz w:val="24"/>
          <w:szCs w:val="24"/>
        </w:rPr>
      </w:pPr>
      <w:r w:rsidRPr="001B4B68">
        <w:rPr>
          <w:rFonts w:ascii="Arial Nova" w:hAnsi="Arial Nova" w:cs="Times New Roman"/>
          <w:sz w:val="24"/>
          <w:szCs w:val="24"/>
        </w:rPr>
        <w:t>L</w:t>
      </w:r>
      <w:r w:rsidR="00854CB9" w:rsidRPr="001B4B68">
        <w:rPr>
          <w:rFonts w:ascii="Arial Nova" w:hAnsi="Arial Nova" w:cs="Times New Roman"/>
          <w:sz w:val="24"/>
          <w:szCs w:val="24"/>
        </w:rPr>
        <w:t>a Primera Sal</w:t>
      </w:r>
      <w:r w:rsidR="005E0CB6" w:rsidRPr="001B4B68">
        <w:rPr>
          <w:rFonts w:ascii="Arial Nova" w:hAnsi="Arial Nova" w:cs="Times New Roman"/>
          <w:sz w:val="24"/>
          <w:szCs w:val="24"/>
        </w:rPr>
        <w:t>a</w:t>
      </w:r>
      <w:r w:rsidRPr="001B4B68">
        <w:rPr>
          <w:rFonts w:ascii="Arial Nova" w:hAnsi="Arial Nova" w:cs="Times New Roman"/>
          <w:sz w:val="24"/>
          <w:szCs w:val="24"/>
        </w:rPr>
        <w:t xml:space="preserve"> reconoció </w:t>
      </w:r>
      <w:r w:rsidR="00735FC2" w:rsidRPr="001B4B68">
        <w:rPr>
          <w:rFonts w:ascii="Arial Nova" w:hAnsi="Arial Nova" w:cs="Times New Roman"/>
          <w:sz w:val="24"/>
          <w:szCs w:val="24"/>
        </w:rPr>
        <w:t>que el artículo impugnado</w:t>
      </w:r>
      <w:r w:rsidR="006D5BEA" w:rsidRPr="001B4B68">
        <w:rPr>
          <w:rStyle w:val="Refdenotaalpie"/>
          <w:rFonts w:ascii="Arial Nova" w:hAnsi="Arial Nova" w:cs="Times New Roman"/>
          <w:sz w:val="24"/>
          <w:szCs w:val="24"/>
        </w:rPr>
        <w:footnoteReference w:id="3"/>
      </w:r>
      <w:r w:rsidR="006D5BEA" w:rsidRPr="001B4B68">
        <w:rPr>
          <w:rFonts w:ascii="Arial Nova" w:hAnsi="Arial Nova" w:cs="Times New Roman"/>
          <w:sz w:val="24"/>
          <w:szCs w:val="24"/>
        </w:rPr>
        <w:t xml:space="preserve"> </w:t>
      </w:r>
      <w:r w:rsidR="00735FC2" w:rsidRPr="001B4B68">
        <w:rPr>
          <w:rFonts w:ascii="Arial Nova" w:hAnsi="Arial Nova" w:cs="Times New Roman"/>
          <w:sz w:val="24"/>
          <w:szCs w:val="24"/>
        </w:rPr>
        <w:t xml:space="preserve">era conforme a la Constitución </w:t>
      </w:r>
      <w:r w:rsidR="006D5BEA" w:rsidRPr="001B4B68">
        <w:rPr>
          <w:rFonts w:ascii="Arial Nova" w:hAnsi="Arial Nova" w:cs="Times New Roman"/>
          <w:sz w:val="24"/>
          <w:szCs w:val="24"/>
        </w:rPr>
        <w:t>Federal</w:t>
      </w:r>
      <w:r w:rsidR="00735FC2" w:rsidRPr="001B4B68">
        <w:rPr>
          <w:rFonts w:ascii="Arial Nova" w:hAnsi="Arial Nova" w:cs="Times New Roman"/>
          <w:sz w:val="24"/>
          <w:szCs w:val="24"/>
        </w:rPr>
        <w:t>,</w:t>
      </w:r>
      <w:r w:rsidRPr="001B4B68">
        <w:rPr>
          <w:rFonts w:ascii="Arial Nova" w:hAnsi="Arial Nova" w:cs="Times New Roman"/>
          <w:sz w:val="24"/>
          <w:szCs w:val="24"/>
        </w:rPr>
        <w:t xml:space="preserve"> y negó la protección </w:t>
      </w:r>
      <w:r w:rsidR="00735FC2" w:rsidRPr="001B4B68">
        <w:rPr>
          <w:rFonts w:ascii="Arial Nova" w:hAnsi="Arial Nova" w:cs="Times New Roman"/>
          <w:sz w:val="24"/>
          <w:szCs w:val="24"/>
        </w:rPr>
        <w:t>el amparo</w:t>
      </w:r>
      <w:r w:rsidRPr="001B4B68">
        <w:rPr>
          <w:rFonts w:ascii="Arial Nova" w:hAnsi="Arial Nova" w:cs="Times New Roman"/>
          <w:sz w:val="24"/>
          <w:szCs w:val="24"/>
        </w:rPr>
        <w:t xml:space="preserve"> solicitad</w:t>
      </w:r>
      <w:r w:rsidR="00616BAF" w:rsidRPr="001B4B68">
        <w:rPr>
          <w:rFonts w:ascii="Arial Nova" w:hAnsi="Arial Nova" w:cs="Times New Roman"/>
          <w:sz w:val="24"/>
          <w:szCs w:val="24"/>
        </w:rPr>
        <w:t>o</w:t>
      </w:r>
      <w:r w:rsidR="005A3043" w:rsidRPr="001B4B68">
        <w:rPr>
          <w:rFonts w:ascii="Arial Nova" w:hAnsi="Arial Nova" w:cs="Times New Roman"/>
          <w:sz w:val="24"/>
          <w:szCs w:val="24"/>
        </w:rPr>
        <w:t>.</w:t>
      </w:r>
      <w:r w:rsidR="00686D67" w:rsidRPr="001B4B68">
        <w:rPr>
          <w:rFonts w:ascii="Arial Nova" w:hAnsi="Arial Nova" w:cs="Times New Roman"/>
          <w:sz w:val="24"/>
          <w:szCs w:val="24"/>
        </w:rPr>
        <w:t xml:space="preserve"> </w:t>
      </w:r>
      <w:r w:rsidR="006D5BEA" w:rsidRPr="001B4B68">
        <w:rPr>
          <w:rFonts w:ascii="Arial Nova" w:hAnsi="Arial Nova" w:cs="Times New Roman"/>
          <w:sz w:val="24"/>
          <w:szCs w:val="24"/>
        </w:rPr>
        <w:t>Lo anterior, p</w:t>
      </w:r>
      <w:r w:rsidR="003B214E" w:rsidRPr="001B4B68">
        <w:rPr>
          <w:rFonts w:ascii="Arial Nova" w:hAnsi="Arial Nova" w:cs="Times New Roman"/>
          <w:sz w:val="24"/>
          <w:szCs w:val="24"/>
        </w:rPr>
        <w:t xml:space="preserve">ues </w:t>
      </w:r>
      <w:r w:rsidR="006D5BEA" w:rsidRPr="001B4B68">
        <w:rPr>
          <w:rFonts w:ascii="Arial Nova" w:hAnsi="Arial Nova" w:cs="Times New Roman"/>
          <w:sz w:val="24"/>
          <w:szCs w:val="24"/>
        </w:rPr>
        <w:t xml:space="preserve">el </w:t>
      </w:r>
      <w:r w:rsidR="003B214E" w:rsidRPr="001B4B68">
        <w:rPr>
          <w:rFonts w:ascii="Arial Nova" w:hAnsi="Arial Nova" w:cs="Times New Roman"/>
          <w:sz w:val="24"/>
          <w:szCs w:val="24"/>
        </w:rPr>
        <w:t xml:space="preserve">que el artículo </w:t>
      </w:r>
      <w:r w:rsidR="000E045F" w:rsidRPr="001B4B68">
        <w:rPr>
          <w:rFonts w:ascii="Arial Nova" w:hAnsi="Arial Nova" w:cs="Times New Roman"/>
          <w:sz w:val="24"/>
          <w:szCs w:val="24"/>
        </w:rPr>
        <w:t>estableciera la obligación de recabar un comprobante fiscal sobre las operaciones de la Asociación Civil e</w:t>
      </w:r>
      <w:r w:rsidR="00104B16" w:rsidRPr="001B4B68">
        <w:rPr>
          <w:rFonts w:ascii="Arial Nova" w:hAnsi="Arial Nova" w:cs="Times New Roman"/>
          <w:sz w:val="24"/>
          <w:szCs w:val="24"/>
        </w:rPr>
        <w:t>ra</w:t>
      </w:r>
      <w:r w:rsidR="000E045F" w:rsidRPr="001B4B68">
        <w:rPr>
          <w:rFonts w:ascii="Arial Nova" w:hAnsi="Arial Nova" w:cs="Times New Roman"/>
          <w:sz w:val="24"/>
          <w:szCs w:val="24"/>
        </w:rPr>
        <w:t xml:space="preserve"> una finalidad constitucional válida, la cual </w:t>
      </w:r>
      <w:r w:rsidR="005A3043" w:rsidRPr="001B4B68">
        <w:rPr>
          <w:rFonts w:ascii="Arial Nova" w:hAnsi="Arial Nova" w:cs="Times New Roman"/>
          <w:sz w:val="24"/>
          <w:szCs w:val="24"/>
        </w:rPr>
        <w:t>consist</w:t>
      </w:r>
      <w:r w:rsidR="00104B16" w:rsidRPr="001B4B68">
        <w:rPr>
          <w:rFonts w:ascii="Arial Nova" w:hAnsi="Arial Nova" w:cs="Times New Roman"/>
          <w:sz w:val="24"/>
          <w:szCs w:val="24"/>
        </w:rPr>
        <w:t>ía</w:t>
      </w:r>
      <w:r w:rsidR="00014CF3" w:rsidRPr="001B4B68">
        <w:rPr>
          <w:rFonts w:ascii="Arial Nova" w:hAnsi="Arial Nova" w:cs="Times New Roman"/>
          <w:sz w:val="24"/>
          <w:szCs w:val="24"/>
        </w:rPr>
        <w:t xml:space="preserve"> </w:t>
      </w:r>
      <w:r w:rsidR="005A3043" w:rsidRPr="001B4B68">
        <w:rPr>
          <w:rFonts w:ascii="Arial Nova" w:hAnsi="Arial Nova" w:cs="Times New Roman"/>
          <w:sz w:val="24"/>
          <w:szCs w:val="24"/>
        </w:rPr>
        <w:t xml:space="preserve">en </w:t>
      </w:r>
      <w:r w:rsidR="005E0CB6" w:rsidRPr="001B4B68">
        <w:rPr>
          <w:rFonts w:ascii="Arial Nova" w:hAnsi="Arial Nova" w:cs="Times New Roman"/>
          <w:sz w:val="24"/>
          <w:szCs w:val="24"/>
        </w:rPr>
        <w:t>evi</w:t>
      </w:r>
      <w:r w:rsidR="00854CB9" w:rsidRPr="001B4B68">
        <w:rPr>
          <w:rFonts w:ascii="Arial Nova" w:hAnsi="Arial Nova" w:cs="Times New Roman"/>
          <w:sz w:val="24"/>
          <w:szCs w:val="24"/>
        </w:rPr>
        <w:t>tar</w:t>
      </w:r>
      <w:r w:rsidR="00DD765B" w:rsidRPr="001B4B68">
        <w:rPr>
          <w:rFonts w:ascii="Arial Nova" w:hAnsi="Arial Nova" w:cs="Times New Roman"/>
          <w:sz w:val="24"/>
          <w:szCs w:val="24"/>
        </w:rPr>
        <w:t xml:space="preserve"> que las personas que les </w:t>
      </w:r>
      <w:r w:rsidR="00014CF3" w:rsidRPr="001B4B68">
        <w:rPr>
          <w:rFonts w:ascii="Arial Nova" w:hAnsi="Arial Nova" w:cs="Times New Roman"/>
          <w:sz w:val="24"/>
          <w:szCs w:val="24"/>
        </w:rPr>
        <w:t>brind</w:t>
      </w:r>
      <w:r w:rsidR="00104B16" w:rsidRPr="001B4B68">
        <w:rPr>
          <w:rFonts w:ascii="Arial Nova" w:hAnsi="Arial Nova" w:cs="Times New Roman"/>
          <w:sz w:val="24"/>
          <w:szCs w:val="24"/>
        </w:rPr>
        <w:t>ara</w:t>
      </w:r>
      <w:r w:rsidR="00014CF3" w:rsidRPr="001B4B68">
        <w:rPr>
          <w:rFonts w:ascii="Arial Nova" w:hAnsi="Arial Nova" w:cs="Times New Roman"/>
          <w:sz w:val="24"/>
          <w:szCs w:val="24"/>
        </w:rPr>
        <w:t>n</w:t>
      </w:r>
      <w:r w:rsidR="00DD765B" w:rsidRPr="001B4B68">
        <w:rPr>
          <w:rFonts w:ascii="Arial Nova" w:hAnsi="Arial Nova" w:cs="Times New Roman"/>
          <w:sz w:val="24"/>
          <w:szCs w:val="24"/>
        </w:rPr>
        <w:t xml:space="preserve"> bienes o servicios evit</w:t>
      </w:r>
      <w:r w:rsidR="00104B16" w:rsidRPr="001B4B68">
        <w:rPr>
          <w:rFonts w:ascii="Arial Nova" w:hAnsi="Arial Nova" w:cs="Times New Roman"/>
          <w:sz w:val="24"/>
          <w:szCs w:val="24"/>
        </w:rPr>
        <w:t>ara</w:t>
      </w:r>
      <w:r w:rsidR="00014CF3" w:rsidRPr="001B4B68">
        <w:rPr>
          <w:rFonts w:ascii="Arial Nova" w:hAnsi="Arial Nova" w:cs="Times New Roman"/>
          <w:sz w:val="24"/>
          <w:szCs w:val="24"/>
        </w:rPr>
        <w:t>n</w:t>
      </w:r>
      <w:r w:rsidR="00DD765B" w:rsidRPr="001B4B68">
        <w:rPr>
          <w:rFonts w:ascii="Arial Nova" w:hAnsi="Arial Nova" w:cs="Times New Roman"/>
          <w:sz w:val="24"/>
          <w:szCs w:val="24"/>
        </w:rPr>
        <w:t xml:space="preserve"> o elud</w:t>
      </w:r>
      <w:r w:rsidR="00104B16" w:rsidRPr="001B4B68">
        <w:rPr>
          <w:rFonts w:ascii="Arial Nova" w:hAnsi="Arial Nova" w:cs="Times New Roman"/>
          <w:sz w:val="24"/>
          <w:szCs w:val="24"/>
        </w:rPr>
        <w:t>ier</w:t>
      </w:r>
      <w:r w:rsidR="009D778B" w:rsidRPr="001B4B68">
        <w:rPr>
          <w:rFonts w:ascii="Arial Nova" w:hAnsi="Arial Nova" w:cs="Times New Roman"/>
          <w:sz w:val="24"/>
          <w:szCs w:val="24"/>
        </w:rPr>
        <w:t>a</w:t>
      </w:r>
      <w:r w:rsidR="00DD765B" w:rsidRPr="001B4B68">
        <w:rPr>
          <w:rFonts w:ascii="Arial Nova" w:hAnsi="Arial Nova" w:cs="Times New Roman"/>
          <w:sz w:val="24"/>
          <w:szCs w:val="24"/>
        </w:rPr>
        <w:t xml:space="preserve">n impuestos al comercializar con personas morales sin fines de lucro. </w:t>
      </w:r>
    </w:p>
    <w:p w14:paraId="1004E3D3" w14:textId="427F324A" w:rsidR="00854CB9" w:rsidRPr="001B4B68" w:rsidRDefault="00854CB9" w:rsidP="00854CB9">
      <w:pPr>
        <w:spacing w:after="0" w:line="240" w:lineRule="auto"/>
        <w:jc w:val="both"/>
        <w:rPr>
          <w:rFonts w:ascii="Arial Nova" w:hAnsi="Arial Nova" w:cs="Times New Roman"/>
          <w:sz w:val="24"/>
          <w:szCs w:val="24"/>
        </w:rPr>
      </w:pPr>
    </w:p>
    <w:p w14:paraId="4676D8FC" w14:textId="17B63146" w:rsidR="005A3043" w:rsidRPr="001B4B68" w:rsidRDefault="00854CB9" w:rsidP="00854CB9">
      <w:pPr>
        <w:spacing w:after="0" w:line="240" w:lineRule="auto"/>
        <w:jc w:val="both"/>
        <w:rPr>
          <w:rFonts w:ascii="Arial Nova" w:hAnsi="Arial Nova" w:cs="Times New Roman"/>
          <w:sz w:val="24"/>
          <w:szCs w:val="24"/>
        </w:rPr>
      </w:pPr>
      <w:r w:rsidRPr="001B4B68">
        <w:rPr>
          <w:rFonts w:ascii="Arial Nova" w:hAnsi="Arial Nova" w:cs="Times New Roman"/>
          <w:sz w:val="24"/>
          <w:szCs w:val="24"/>
        </w:rPr>
        <w:t xml:space="preserve">Asimismo, </w:t>
      </w:r>
      <w:r w:rsidR="006D5BEA" w:rsidRPr="001B4B68">
        <w:rPr>
          <w:rFonts w:ascii="Arial Nova" w:hAnsi="Arial Nova" w:cs="Times New Roman"/>
          <w:sz w:val="24"/>
          <w:szCs w:val="24"/>
        </w:rPr>
        <w:t xml:space="preserve">el </w:t>
      </w:r>
      <w:r w:rsidRPr="001B4B68">
        <w:rPr>
          <w:rFonts w:ascii="Arial Nova" w:hAnsi="Arial Nova" w:cs="Times New Roman"/>
          <w:sz w:val="24"/>
          <w:szCs w:val="24"/>
        </w:rPr>
        <w:t>Alto Tr</w:t>
      </w:r>
      <w:r w:rsidR="005A3043" w:rsidRPr="001B4B68">
        <w:rPr>
          <w:rFonts w:ascii="Arial Nova" w:hAnsi="Arial Nova" w:cs="Times New Roman"/>
          <w:sz w:val="24"/>
          <w:szCs w:val="24"/>
        </w:rPr>
        <w:t xml:space="preserve">ibunal </w:t>
      </w:r>
      <w:r w:rsidR="002C41D3" w:rsidRPr="001B4B68">
        <w:rPr>
          <w:rFonts w:ascii="Arial Nova" w:hAnsi="Arial Nova" w:cs="Times New Roman"/>
          <w:sz w:val="24"/>
          <w:szCs w:val="24"/>
        </w:rPr>
        <w:t xml:space="preserve">concluyó </w:t>
      </w:r>
      <w:r w:rsidR="005A3043" w:rsidRPr="001B4B68">
        <w:rPr>
          <w:rFonts w:ascii="Arial Nova" w:hAnsi="Arial Nova" w:cs="Times New Roman"/>
          <w:sz w:val="24"/>
          <w:szCs w:val="24"/>
        </w:rPr>
        <w:t xml:space="preserve">que la medida </w:t>
      </w:r>
      <w:r w:rsidR="009D778B" w:rsidRPr="001B4B68">
        <w:rPr>
          <w:rFonts w:ascii="Arial Nova" w:hAnsi="Arial Nova" w:cs="Times New Roman"/>
          <w:sz w:val="24"/>
          <w:szCs w:val="24"/>
        </w:rPr>
        <w:t xml:space="preserve">legislativa </w:t>
      </w:r>
      <w:r w:rsidR="005A3043" w:rsidRPr="001B4B68">
        <w:rPr>
          <w:rFonts w:ascii="Arial Nova" w:hAnsi="Arial Nova" w:cs="Times New Roman"/>
          <w:sz w:val="24"/>
          <w:szCs w:val="24"/>
        </w:rPr>
        <w:t>era</w:t>
      </w:r>
      <w:r w:rsidRPr="001B4B68">
        <w:rPr>
          <w:rFonts w:ascii="Arial Nova" w:hAnsi="Arial Nova" w:cs="Times New Roman"/>
          <w:sz w:val="24"/>
          <w:szCs w:val="24"/>
        </w:rPr>
        <w:t xml:space="preserve"> racional</w:t>
      </w:r>
      <w:r w:rsidR="005A3043" w:rsidRPr="001B4B68">
        <w:rPr>
          <w:rFonts w:ascii="Arial Nova" w:hAnsi="Arial Nova" w:cs="Times New Roman"/>
          <w:sz w:val="24"/>
          <w:szCs w:val="24"/>
        </w:rPr>
        <w:t xml:space="preserve"> y adecuada</w:t>
      </w:r>
      <w:r w:rsidRPr="001B4B68">
        <w:rPr>
          <w:rFonts w:ascii="Arial Nova" w:hAnsi="Arial Nova" w:cs="Times New Roman"/>
          <w:sz w:val="24"/>
          <w:szCs w:val="24"/>
        </w:rPr>
        <w:t xml:space="preserve"> en corresponden</w:t>
      </w:r>
      <w:r w:rsidR="001D2111" w:rsidRPr="001B4B68">
        <w:rPr>
          <w:rFonts w:ascii="Arial Nova" w:hAnsi="Arial Nova" w:cs="Times New Roman"/>
          <w:sz w:val="24"/>
          <w:szCs w:val="24"/>
        </w:rPr>
        <w:t>cia con la finalidad perseguida</w:t>
      </w:r>
      <w:r w:rsidR="006D5BEA" w:rsidRPr="001B4B68">
        <w:rPr>
          <w:rFonts w:ascii="Arial Nova" w:hAnsi="Arial Nova" w:cs="Times New Roman"/>
          <w:sz w:val="24"/>
          <w:szCs w:val="24"/>
        </w:rPr>
        <w:t xml:space="preserve">, debido a </w:t>
      </w:r>
      <w:r w:rsidRPr="001B4B68">
        <w:rPr>
          <w:rFonts w:ascii="Arial Nova" w:hAnsi="Arial Nova" w:cs="Times New Roman"/>
          <w:sz w:val="24"/>
          <w:szCs w:val="24"/>
        </w:rPr>
        <w:t>que</w:t>
      </w:r>
      <w:r w:rsidR="001D2111" w:rsidRPr="001B4B68">
        <w:rPr>
          <w:rFonts w:ascii="Arial Nova" w:hAnsi="Arial Nova" w:cs="Times New Roman"/>
          <w:sz w:val="24"/>
          <w:szCs w:val="24"/>
        </w:rPr>
        <w:t>,</w:t>
      </w:r>
      <w:r w:rsidRPr="001B4B68">
        <w:rPr>
          <w:rFonts w:ascii="Arial Nova" w:hAnsi="Arial Nova" w:cs="Times New Roman"/>
          <w:sz w:val="24"/>
          <w:szCs w:val="24"/>
        </w:rPr>
        <w:t xml:space="preserve"> el deber de solicitar un comprobante </w:t>
      </w:r>
      <w:r w:rsidR="00761B87" w:rsidRPr="001B4B68">
        <w:rPr>
          <w:rFonts w:ascii="Arial Nova" w:hAnsi="Arial Nova" w:cs="Times New Roman"/>
          <w:sz w:val="24"/>
          <w:szCs w:val="24"/>
        </w:rPr>
        <w:t>d</w:t>
      </w:r>
      <w:r w:rsidRPr="001B4B68">
        <w:rPr>
          <w:rFonts w:ascii="Arial Nova" w:hAnsi="Arial Nova" w:cs="Times New Roman"/>
          <w:sz w:val="24"/>
          <w:szCs w:val="24"/>
        </w:rPr>
        <w:t xml:space="preserve">igital que </w:t>
      </w:r>
      <w:r w:rsidR="00126252" w:rsidRPr="001B4B68">
        <w:rPr>
          <w:rFonts w:ascii="Arial Nova" w:hAnsi="Arial Nova" w:cs="Times New Roman"/>
          <w:sz w:val="24"/>
          <w:szCs w:val="24"/>
        </w:rPr>
        <w:t>demuestre los</w:t>
      </w:r>
      <w:r w:rsidRPr="001B4B68">
        <w:rPr>
          <w:rFonts w:ascii="Arial Nova" w:hAnsi="Arial Nova" w:cs="Times New Roman"/>
          <w:sz w:val="24"/>
          <w:szCs w:val="24"/>
        </w:rPr>
        <w:t xml:space="preserve"> gasto</w:t>
      </w:r>
      <w:r w:rsidR="00126252" w:rsidRPr="001B4B68">
        <w:rPr>
          <w:rFonts w:ascii="Arial Nova" w:hAnsi="Arial Nova" w:cs="Times New Roman"/>
          <w:sz w:val="24"/>
          <w:szCs w:val="24"/>
        </w:rPr>
        <w:t>s</w:t>
      </w:r>
      <w:r w:rsidR="00A87F18" w:rsidRPr="001B4B68">
        <w:rPr>
          <w:rFonts w:ascii="Arial Nova" w:hAnsi="Arial Nova" w:cs="Times New Roman"/>
          <w:sz w:val="24"/>
          <w:szCs w:val="24"/>
        </w:rPr>
        <w:t xml:space="preserve"> de un comerciante</w:t>
      </w:r>
      <w:r w:rsidRPr="001B4B68">
        <w:rPr>
          <w:rFonts w:ascii="Arial Nova" w:hAnsi="Arial Nova" w:cs="Times New Roman"/>
          <w:sz w:val="24"/>
          <w:szCs w:val="24"/>
        </w:rPr>
        <w:t xml:space="preserve"> no resulta</w:t>
      </w:r>
      <w:r w:rsidR="00412CF3" w:rsidRPr="001B4B68">
        <w:rPr>
          <w:rFonts w:ascii="Arial Nova" w:hAnsi="Arial Nova" w:cs="Times New Roman"/>
          <w:sz w:val="24"/>
          <w:szCs w:val="24"/>
        </w:rPr>
        <w:t xml:space="preserve"> en</w:t>
      </w:r>
      <w:r w:rsidRPr="001B4B68">
        <w:rPr>
          <w:rFonts w:ascii="Arial Nova" w:hAnsi="Arial Nova" w:cs="Times New Roman"/>
          <w:sz w:val="24"/>
          <w:szCs w:val="24"/>
        </w:rPr>
        <w:t xml:space="preserve"> una carga desproporcionada o irrealizable que limite las actividades de las soc</w:t>
      </w:r>
      <w:r w:rsidR="005A3043" w:rsidRPr="001B4B68">
        <w:rPr>
          <w:rFonts w:ascii="Arial Nova" w:hAnsi="Arial Nova" w:cs="Times New Roman"/>
          <w:sz w:val="24"/>
          <w:szCs w:val="24"/>
        </w:rPr>
        <w:t xml:space="preserve">iedades </w:t>
      </w:r>
      <w:r w:rsidR="00A87F18" w:rsidRPr="001B4B68">
        <w:rPr>
          <w:rFonts w:ascii="Arial Nova" w:hAnsi="Arial Nova" w:cs="Times New Roman"/>
          <w:sz w:val="24"/>
          <w:szCs w:val="24"/>
        </w:rPr>
        <w:t>sin fines de lucro</w:t>
      </w:r>
      <w:r w:rsidR="005A3043" w:rsidRPr="001B4B68">
        <w:rPr>
          <w:rFonts w:ascii="Arial Nova" w:hAnsi="Arial Nova" w:cs="Times New Roman"/>
          <w:sz w:val="24"/>
          <w:szCs w:val="24"/>
        </w:rPr>
        <w:t xml:space="preserve">. Particularmente, porque se había detectado que la excepción que brindaba </w:t>
      </w:r>
      <w:r w:rsidR="001D2111" w:rsidRPr="001B4B68">
        <w:rPr>
          <w:rFonts w:ascii="Arial Nova" w:hAnsi="Arial Nova" w:cs="Times New Roman"/>
          <w:sz w:val="24"/>
          <w:szCs w:val="24"/>
        </w:rPr>
        <w:t>la disposición</w:t>
      </w:r>
      <w:r w:rsidR="00A87F18" w:rsidRPr="001B4B68">
        <w:rPr>
          <w:rFonts w:ascii="Arial Nova" w:hAnsi="Arial Nova" w:cs="Times New Roman"/>
          <w:sz w:val="24"/>
          <w:szCs w:val="24"/>
        </w:rPr>
        <w:t xml:space="preserve"> antes de ser reformada</w:t>
      </w:r>
      <w:r w:rsidR="001D2111" w:rsidRPr="001B4B68">
        <w:rPr>
          <w:rFonts w:ascii="Arial Nova" w:hAnsi="Arial Nova" w:cs="Times New Roman"/>
          <w:sz w:val="24"/>
          <w:szCs w:val="24"/>
        </w:rPr>
        <w:t xml:space="preserve"> </w:t>
      </w:r>
      <w:r w:rsidR="005A3043" w:rsidRPr="001B4B68">
        <w:rPr>
          <w:rFonts w:ascii="Arial Nova" w:hAnsi="Arial Nova" w:cs="Times New Roman"/>
          <w:sz w:val="24"/>
          <w:szCs w:val="24"/>
        </w:rPr>
        <w:t>había sido utilizada para evadir el pago de impuestos.</w:t>
      </w:r>
    </w:p>
    <w:p w14:paraId="66820DE9" w14:textId="77777777" w:rsidR="005A3043" w:rsidRPr="001B4B68" w:rsidRDefault="005A3043" w:rsidP="00854CB9">
      <w:pPr>
        <w:spacing w:after="0" w:line="240" w:lineRule="auto"/>
        <w:jc w:val="both"/>
        <w:rPr>
          <w:rFonts w:ascii="Arial Nova" w:hAnsi="Arial Nova" w:cs="Times New Roman"/>
          <w:sz w:val="24"/>
          <w:szCs w:val="24"/>
        </w:rPr>
      </w:pPr>
    </w:p>
    <w:p w14:paraId="26A4CA67" w14:textId="4FAD0627" w:rsidR="00854CB9" w:rsidRPr="001B4B68" w:rsidRDefault="006D5BEA" w:rsidP="00854CB9">
      <w:pPr>
        <w:spacing w:after="0" w:line="240" w:lineRule="auto"/>
        <w:jc w:val="both"/>
        <w:rPr>
          <w:rFonts w:ascii="Arial Nova" w:hAnsi="Arial Nova" w:cs="Times New Roman"/>
          <w:sz w:val="24"/>
          <w:szCs w:val="24"/>
        </w:rPr>
      </w:pPr>
      <w:r w:rsidRPr="001B4B68">
        <w:rPr>
          <w:rFonts w:ascii="Arial Nova" w:hAnsi="Arial Nova" w:cs="Times New Roman"/>
          <w:sz w:val="24"/>
          <w:szCs w:val="24"/>
        </w:rPr>
        <w:t>Además</w:t>
      </w:r>
      <w:r w:rsidR="005A3043" w:rsidRPr="001B4B68">
        <w:rPr>
          <w:rFonts w:ascii="Arial Nova" w:hAnsi="Arial Nova" w:cs="Times New Roman"/>
          <w:sz w:val="24"/>
          <w:szCs w:val="24"/>
        </w:rPr>
        <w:t xml:space="preserve">, </w:t>
      </w:r>
      <w:r w:rsidR="00B23CDC" w:rsidRPr="001B4B68">
        <w:rPr>
          <w:rFonts w:ascii="Arial Nova" w:hAnsi="Arial Nova" w:cs="Times New Roman"/>
          <w:sz w:val="24"/>
          <w:szCs w:val="24"/>
        </w:rPr>
        <w:t xml:space="preserve">la Sala </w:t>
      </w:r>
      <w:r w:rsidRPr="001B4B68">
        <w:rPr>
          <w:rFonts w:ascii="Arial Nova" w:hAnsi="Arial Nova" w:cs="Times New Roman"/>
          <w:sz w:val="24"/>
          <w:szCs w:val="24"/>
        </w:rPr>
        <w:t xml:space="preserve">sostuvo </w:t>
      </w:r>
      <w:r w:rsidR="00B23CDC" w:rsidRPr="001B4B68">
        <w:rPr>
          <w:rFonts w:ascii="Arial Nova" w:hAnsi="Arial Nova" w:cs="Times New Roman"/>
          <w:sz w:val="24"/>
          <w:szCs w:val="24"/>
        </w:rPr>
        <w:t xml:space="preserve">que </w:t>
      </w:r>
      <w:r w:rsidR="005A3043" w:rsidRPr="001B4B68">
        <w:rPr>
          <w:rFonts w:ascii="Arial Nova" w:hAnsi="Arial Nova" w:cs="Times New Roman"/>
          <w:sz w:val="24"/>
          <w:szCs w:val="24"/>
        </w:rPr>
        <w:t>la norma combatida era</w:t>
      </w:r>
      <w:r w:rsidR="00854CB9" w:rsidRPr="001B4B68">
        <w:rPr>
          <w:rFonts w:ascii="Arial Nova" w:hAnsi="Arial Nova" w:cs="Times New Roman"/>
          <w:sz w:val="24"/>
          <w:szCs w:val="24"/>
        </w:rPr>
        <w:t xml:space="preserve"> congruente con el eje de eficiencia recaudatoria, puesto que </w:t>
      </w:r>
      <w:r w:rsidRPr="001B4B68">
        <w:rPr>
          <w:rFonts w:ascii="Arial Nova" w:hAnsi="Arial Nova" w:cs="Times New Roman"/>
          <w:sz w:val="24"/>
          <w:szCs w:val="24"/>
        </w:rPr>
        <w:t xml:space="preserve">con ella </w:t>
      </w:r>
      <w:r w:rsidR="00854CB9" w:rsidRPr="001B4B68">
        <w:rPr>
          <w:rFonts w:ascii="Arial Nova" w:hAnsi="Arial Nova" w:cs="Times New Roman"/>
          <w:sz w:val="24"/>
          <w:szCs w:val="24"/>
        </w:rPr>
        <w:t>se impulsa</w:t>
      </w:r>
      <w:r w:rsidR="00B23CDC" w:rsidRPr="001B4B68">
        <w:rPr>
          <w:rFonts w:ascii="Arial Nova" w:hAnsi="Arial Nova" w:cs="Times New Roman"/>
          <w:sz w:val="24"/>
          <w:szCs w:val="24"/>
        </w:rPr>
        <w:t>ba</w:t>
      </w:r>
      <w:r w:rsidR="00854CB9" w:rsidRPr="001B4B68">
        <w:rPr>
          <w:rFonts w:ascii="Arial Nova" w:hAnsi="Arial Nova" w:cs="Times New Roman"/>
          <w:sz w:val="24"/>
          <w:szCs w:val="24"/>
        </w:rPr>
        <w:t xml:space="preserve"> la cultura contributiva, la obtención de información relevante de los contribuyentes, el empleo de la tecnología disponible, así como del fortalecimiento de las facultades de gestión de la autoridad fiscal para controlar y vigilar el cumplimiento de las obligaciones de los contribuyentes.</w:t>
      </w:r>
    </w:p>
    <w:p w14:paraId="1AF5A677" w14:textId="77777777" w:rsidR="00854CB9" w:rsidRPr="001B4B68" w:rsidRDefault="00854CB9" w:rsidP="00854CB9">
      <w:pPr>
        <w:spacing w:after="0" w:line="240" w:lineRule="auto"/>
        <w:jc w:val="both"/>
        <w:rPr>
          <w:rFonts w:ascii="Arial Nova" w:hAnsi="Arial Nova" w:cs="Times New Roman"/>
          <w:sz w:val="24"/>
          <w:szCs w:val="24"/>
        </w:rPr>
      </w:pPr>
    </w:p>
    <w:p w14:paraId="5CFFDCEC" w14:textId="7E68D470" w:rsidR="00854CB9" w:rsidRPr="001B4B68" w:rsidRDefault="00157632" w:rsidP="00854CB9">
      <w:pPr>
        <w:spacing w:after="0" w:line="240" w:lineRule="auto"/>
        <w:jc w:val="both"/>
        <w:rPr>
          <w:rFonts w:ascii="Arial Nova" w:hAnsi="Arial Nova" w:cs="Times New Roman"/>
          <w:sz w:val="24"/>
          <w:szCs w:val="24"/>
        </w:rPr>
      </w:pPr>
      <w:r w:rsidRPr="001B4B68">
        <w:rPr>
          <w:rFonts w:ascii="Arial Nova" w:hAnsi="Arial Nova" w:cs="Times New Roman"/>
          <w:sz w:val="24"/>
          <w:szCs w:val="24"/>
        </w:rPr>
        <w:t>Finalmente</w:t>
      </w:r>
      <w:r w:rsidR="00854CB9" w:rsidRPr="001B4B68">
        <w:rPr>
          <w:rFonts w:ascii="Arial Nova" w:hAnsi="Arial Nova" w:cs="Times New Roman"/>
          <w:sz w:val="24"/>
          <w:szCs w:val="24"/>
        </w:rPr>
        <w:t xml:space="preserve">, </w:t>
      </w:r>
      <w:r w:rsidR="006D5BEA" w:rsidRPr="001B4B68">
        <w:rPr>
          <w:rFonts w:ascii="Arial Nova" w:hAnsi="Arial Nova" w:cs="Times New Roman"/>
          <w:sz w:val="24"/>
          <w:szCs w:val="24"/>
        </w:rPr>
        <w:t>la Primera Sala</w:t>
      </w:r>
      <w:r w:rsidR="00854CB9" w:rsidRPr="001B4B68">
        <w:rPr>
          <w:rFonts w:ascii="Arial Nova" w:hAnsi="Arial Nova" w:cs="Times New Roman"/>
          <w:sz w:val="24"/>
          <w:szCs w:val="24"/>
        </w:rPr>
        <w:t xml:space="preserve"> determinó que el precepto reclamado no genera</w:t>
      </w:r>
      <w:r w:rsidRPr="001B4B68">
        <w:rPr>
          <w:rFonts w:ascii="Arial Nova" w:hAnsi="Arial Nova" w:cs="Times New Roman"/>
          <w:sz w:val="24"/>
          <w:szCs w:val="24"/>
        </w:rPr>
        <w:t>ba</w:t>
      </w:r>
      <w:r w:rsidR="00854CB9" w:rsidRPr="001B4B68">
        <w:rPr>
          <w:rFonts w:ascii="Arial Nova" w:hAnsi="Arial Nova" w:cs="Times New Roman"/>
          <w:sz w:val="24"/>
          <w:szCs w:val="24"/>
        </w:rPr>
        <w:t xml:space="preserve"> una carga administrativa desmedida </w:t>
      </w:r>
      <w:r w:rsidR="00761B87" w:rsidRPr="001B4B68">
        <w:rPr>
          <w:rFonts w:ascii="Arial Nova" w:hAnsi="Arial Nova" w:cs="Times New Roman"/>
          <w:sz w:val="24"/>
          <w:szCs w:val="24"/>
        </w:rPr>
        <w:t>ni</w:t>
      </w:r>
      <w:r w:rsidR="00854CB9" w:rsidRPr="001B4B68">
        <w:rPr>
          <w:rFonts w:ascii="Arial Nova" w:hAnsi="Arial Nova" w:cs="Times New Roman"/>
          <w:sz w:val="24"/>
          <w:szCs w:val="24"/>
        </w:rPr>
        <w:t xml:space="preserve"> e</w:t>
      </w:r>
      <w:r w:rsidRPr="001B4B68">
        <w:rPr>
          <w:rFonts w:ascii="Arial Nova" w:hAnsi="Arial Nova" w:cs="Times New Roman"/>
          <w:sz w:val="24"/>
          <w:szCs w:val="24"/>
        </w:rPr>
        <w:t>ra</w:t>
      </w:r>
      <w:r w:rsidR="00854CB9" w:rsidRPr="001B4B68">
        <w:rPr>
          <w:rFonts w:ascii="Arial Nova" w:hAnsi="Arial Nova" w:cs="Times New Roman"/>
          <w:sz w:val="24"/>
          <w:szCs w:val="24"/>
        </w:rPr>
        <w:t xml:space="preserve"> violatorio </w:t>
      </w:r>
      <w:r w:rsidR="006D5BEA" w:rsidRPr="001B4B68">
        <w:rPr>
          <w:rFonts w:ascii="Arial Nova" w:hAnsi="Arial Nova" w:cs="Times New Roman"/>
          <w:sz w:val="24"/>
          <w:szCs w:val="24"/>
        </w:rPr>
        <w:t xml:space="preserve">de </w:t>
      </w:r>
      <w:r w:rsidR="00761B87" w:rsidRPr="001B4B68">
        <w:rPr>
          <w:rFonts w:ascii="Arial Nova" w:hAnsi="Arial Nova" w:cs="Times New Roman"/>
          <w:sz w:val="24"/>
          <w:szCs w:val="24"/>
        </w:rPr>
        <w:t>la seguridad jurídica y del principio de confianza legítima</w:t>
      </w:r>
      <w:r w:rsidRPr="001B4B68">
        <w:rPr>
          <w:rFonts w:ascii="Arial Nova" w:hAnsi="Arial Nova" w:cs="Times New Roman"/>
          <w:sz w:val="24"/>
          <w:szCs w:val="24"/>
        </w:rPr>
        <w:t xml:space="preserve">. </w:t>
      </w:r>
      <w:r w:rsidR="006D5BEA" w:rsidRPr="001B4B68">
        <w:rPr>
          <w:rFonts w:ascii="Arial Nova" w:hAnsi="Arial Nova" w:cs="Times New Roman"/>
          <w:sz w:val="24"/>
          <w:szCs w:val="24"/>
        </w:rPr>
        <w:t>Ello, t</w:t>
      </w:r>
      <w:r w:rsidR="00854CB9" w:rsidRPr="001B4B68">
        <w:rPr>
          <w:rFonts w:ascii="Arial Nova" w:hAnsi="Arial Nova" w:cs="Times New Roman"/>
          <w:sz w:val="24"/>
          <w:szCs w:val="24"/>
        </w:rPr>
        <w:t xml:space="preserve">oda vez que la exclusión de la excepción </w:t>
      </w:r>
      <w:r w:rsidRPr="001B4B68">
        <w:rPr>
          <w:rFonts w:ascii="Arial Nova" w:hAnsi="Arial Nova" w:cs="Times New Roman"/>
          <w:sz w:val="24"/>
          <w:szCs w:val="24"/>
        </w:rPr>
        <w:t>de deducción sin comprobante</w:t>
      </w:r>
      <w:r w:rsidR="00854CB9" w:rsidRPr="001B4B68">
        <w:rPr>
          <w:rFonts w:ascii="Arial Nova" w:hAnsi="Arial Nova" w:cs="Times New Roman"/>
          <w:sz w:val="24"/>
          <w:szCs w:val="24"/>
        </w:rPr>
        <w:t xml:space="preserve"> se apega</w:t>
      </w:r>
      <w:r w:rsidRPr="001B4B68">
        <w:rPr>
          <w:rFonts w:ascii="Arial Nova" w:hAnsi="Arial Nova" w:cs="Times New Roman"/>
          <w:sz w:val="24"/>
          <w:szCs w:val="24"/>
        </w:rPr>
        <w:t>ba</w:t>
      </w:r>
      <w:r w:rsidR="00854CB9" w:rsidRPr="001B4B68">
        <w:rPr>
          <w:rFonts w:ascii="Arial Nova" w:hAnsi="Arial Nova" w:cs="Times New Roman"/>
          <w:sz w:val="24"/>
          <w:szCs w:val="24"/>
        </w:rPr>
        <w:t xml:space="preserve"> a los principios de veracidad y demostrabilidad razonables que imperan en materia tributaria.</w:t>
      </w:r>
    </w:p>
    <w:p w14:paraId="53D080FC" w14:textId="77777777" w:rsidR="00252246" w:rsidRPr="001B4B68" w:rsidRDefault="00252246" w:rsidP="00854CB9">
      <w:pPr>
        <w:spacing w:after="0" w:line="240" w:lineRule="auto"/>
        <w:jc w:val="both"/>
        <w:rPr>
          <w:rFonts w:ascii="Arial Nova" w:hAnsi="Arial Nova" w:cs="Times New Roman"/>
          <w:sz w:val="24"/>
          <w:szCs w:val="24"/>
        </w:rPr>
      </w:pPr>
    </w:p>
    <w:p w14:paraId="6555BF86" w14:textId="468A3E49" w:rsidR="0048582B" w:rsidRPr="001B4B68" w:rsidRDefault="00B323DA" w:rsidP="00854CB9">
      <w:pPr>
        <w:shd w:val="clear" w:color="auto" w:fill="B4C6E7" w:themeFill="accent1" w:themeFillTint="66"/>
        <w:spacing w:after="0" w:line="240" w:lineRule="auto"/>
        <w:jc w:val="right"/>
        <w:rPr>
          <w:rFonts w:ascii="Arial Nova" w:hAnsi="Arial Nova" w:cs="Times New Roman"/>
          <w:smallCaps/>
          <w:color w:val="000F2E"/>
          <w:sz w:val="24"/>
          <w:szCs w:val="24"/>
        </w:rPr>
      </w:pPr>
      <w:r w:rsidRPr="001B4B68">
        <w:rPr>
          <w:rFonts w:ascii="Arial Nova" w:hAnsi="Arial Nova" w:cs="Times New Roman"/>
          <w:b/>
          <w:bCs/>
          <w:smallCaps/>
          <w:color w:val="000F2E"/>
          <w:sz w:val="28"/>
          <w:szCs w:val="28"/>
        </w:rPr>
        <w:t>V</w:t>
      </w:r>
      <w:r w:rsidRPr="001B4B68">
        <w:rPr>
          <w:rFonts w:ascii="Arial Nova" w:hAnsi="Arial Nova" w:cs="Times New Roman"/>
          <w:b/>
          <w:bCs/>
          <w:smallCaps/>
          <w:color w:val="000F2E"/>
          <w:sz w:val="24"/>
          <w:szCs w:val="24"/>
        </w:rPr>
        <w:t>otación:</w:t>
      </w:r>
    </w:p>
    <w:p w14:paraId="0C7EBC6A" w14:textId="77777777" w:rsidR="0048582B" w:rsidRPr="001B4B68" w:rsidRDefault="0048582B" w:rsidP="00854CB9">
      <w:pPr>
        <w:spacing w:after="0" w:line="240" w:lineRule="auto"/>
        <w:jc w:val="both"/>
        <w:rPr>
          <w:rFonts w:ascii="Arial Nova" w:hAnsi="Arial Nova" w:cs="Times New Roman"/>
          <w:b/>
          <w:bCs/>
          <w:sz w:val="24"/>
          <w:szCs w:val="24"/>
          <w:shd w:val="clear" w:color="auto" w:fill="B4C6E7" w:themeFill="accent1" w:themeFillTint="66"/>
        </w:rPr>
      </w:pPr>
    </w:p>
    <w:p w14:paraId="0DE01B25" w14:textId="77B67009" w:rsidR="00197921" w:rsidRPr="001B4B68" w:rsidRDefault="00854CB9" w:rsidP="000018A2">
      <w:pPr>
        <w:spacing w:after="0" w:line="240" w:lineRule="auto"/>
        <w:jc w:val="both"/>
        <w:rPr>
          <w:rFonts w:ascii="Arial Nova" w:hAnsi="Arial Nova" w:cs="Times New Roman"/>
          <w:sz w:val="24"/>
          <w:szCs w:val="24"/>
        </w:rPr>
      </w:pPr>
      <w:r w:rsidRPr="001B4B68">
        <w:rPr>
          <w:rFonts w:ascii="Arial Nova" w:hAnsi="Arial Nova" w:cs="Times New Roman"/>
          <w:sz w:val="24"/>
          <w:szCs w:val="24"/>
        </w:rPr>
        <w:t>El asunto fue resuelto en sesión de la Primera Sala del 15 de marzo de 2023, por unanimidad de cinco votos de la Señora Ministra Ana Margarita Ríos Farjat y de los Señores Ministros Arturo Zaldívar Lelo de Larrea, Juan Luis González Alcántara Carrancá, Alfredo Gutiérrez Ortiz Mena y Jorge Mario Pardo Rebolledo (Presidente), quien se reservó su derecho a formular voto concurrente.</w:t>
      </w:r>
    </w:p>
    <w:p w14:paraId="0BFE51E9" w14:textId="7D705207" w:rsidR="00642B2A" w:rsidRPr="001B4B68"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1B4B6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F822" w14:textId="77777777" w:rsidR="00B92FF5" w:rsidRDefault="00B92FF5" w:rsidP="000A7E7B">
      <w:pPr>
        <w:spacing w:after="0" w:line="240" w:lineRule="auto"/>
      </w:pPr>
      <w:r>
        <w:separator/>
      </w:r>
    </w:p>
    <w:p w14:paraId="44BF1C40" w14:textId="77777777" w:rsidR="00B92FF5" w:rsidRDefault="00B92FF5"/>
  </w:endnote>
  <w:endnote w:type="continuationSeparator" w:id="0">
    <w:p w14:paraId="3A3269FF" w14:textId="77777777" w:rsidR="00B92FF5" w:rsidRDefault="00B92FF5" w:rsidP="000A7E7B">
      <w:pPr>
        <w:spacing w:after="0" w:line="240" w:lineRule="auto"/>
      </w:pPr>
      <w:r>
        <w:continuationSeparator/>
      </w:r>
    </w:p>
    <w:p w14:paraId="3B193793" w14:textId="77777777" w:rsidR="00B92FF5" w:rsidRDefault="00B92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31ACB2F7"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001C2DB9" w:rsidRPr="001C2DB9">
          <w:rPr>
            <w:rFonts w:ascii="Arial Nova" w:hAnsi="Arial Nova" w:cs="Times New Roman"/>
            <w:b/>
            <w:bCs/>
            <w:noProof/>
            <w:color w:val="002060"/>
            <w:sz w:val="24"/>
            <w:szCs w:val="24"/>
            <w:lang w:val="es-ES"/>
          </w:rPr>
          <w:t>3</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D4C5" w14:textId="77777777" w:rsidR="00B92FF5" w:rsidRDefault="00B92FF5" w:rsidP="000A7E7B">
      <w:pPr>
        <w:spacing w:after="0" w:line="240" w:lineRule="auto"/>
      </w:pPr>
      <w:r>
        <w:separator/>
      </w:r>
    </w:p>
    <w:p w14:paraId="0FE23447" w14:textId="77777777" w:rsidR="00B92FF5" w:rsidRDefault="00B92FF5"/>
  </w:footnote>
  <w:footnote w:type="continuationSeparator" w:id="0">
    <w:p w14:paraId="318E344E" w14:textId="77777777" w:rsidR="00B92FF5" w:rsidRDefault="00B92FF5" w:rsidP="000A7E7B">
      <w:pPr>
        <w:spacing w:after="0" w:line="240" w:lineRule="auto"/>
      </w:pPr>
      <w:r>
        <w:continuationSeparator/>
      </w:r>
    </w:p>
    <w:p w14:paraId="37795D18" w14:textId="77777777" w:rsidR="00B92FF5" w:rsidRDefault="00B92FF5"/>
  </w:footnote>
  <w:footnote w:id="1">
    <w:p w14:paraId="69C18B69" w14:textId="32B891D6" w:rsidR="00926A47" w:rsidRDefault="00926A47">
      <w:pPr>
        <w:pStyle w:val="Textonotapie"/>
      </w:pPr>
      <w:r>
        <w:rPr>
          <w:rStyle w:val="Refdenotaalpie"/>
        </w:rPr>
        <w:footnoteRef/>
      </w:r>
      <w:r>
        <w:t xml:space="preserve"> </w:t>
      </w:r>
      <w:r w:rsidR="00033000" w:rsidRPr="00033000">
        <w:rPr>
          <w:rFonts w:ascii="Arial" w:hAnsi="Arial" w:cs="Arial"/>
        </w:rPr>
        <w:t>P</w:t>
      </w:r>
      <w:r w:rsidRPr="00033000">
        <w:rPr>
          <w:rFonts w:ascii="Arial" w:hAnsi="Arial" w:cs="Arial"/>
        </w:rPr>
        <w:t xml:space="preserve">ublicada en el Diario Oficial de la Federación el </w:t>
      </w:r>
      <w:r w:rsidR="00B6083A" w:rsidRPr="00033000">
        <w:rPr>
          <w:rFonts w:ascii="Arial" w:hAnsi="Arial" w:cs="Arial"/>
        </w:rPr>
        <w:t>8 de diciembre de 2020</w:t>
      </w:r>
      <w:r w:rsidR="00033000" w:rsidRPr="00033000">
        <w:rPr>
          <w:rFonts w:ascii="Arial" w:hAnsi="Arial" w:cs="Arial"/>
        </w:rPr>
        <w:t xml:space="preserve"> y cuya entrada en vigor fue a partir del uno de enero de dos mil veintiuno</w:t>
      </w:r>
      <w:r w:rsidR="00033000">
        <w:rPr>
          <w:rFonts w:ascii="Arial" w:hAnsi="Arial" w:cs="Arial"/>
        </w:rPr>
        <w:t xml:space="preserve">. </w:t>
      </w:r>
    </w:p>
  </w:footnote>
  <w:footnote w:id="2">
    <w:p w14:paraId="6AFD664F" w14:textId="5403A031" w:rsidR="00024AC6" w:rsidRDefault="00024AC6">
      <w:pPr>
        <w:pStyle w:val="Textonotapie"/>
      </w:pPr>
    </w:p>
  </w:footnote>
  <w:footnote w:id="3">
    <w:p w14:paraId="06B53339" w14:textId="77777777" w:rsidR="006D5BEA" w:rsidRDefault="006D5BEA" w:rsidP="006D5BEA">
      <w:pPr>
        <w:pStyle w:val="corte4fondo"/>
        <w:spacing w:line="240" w:lineRule="auto"/>
        <w:ind w:firstLine="0"/>
        <w:rPr>
          <w:rFonts w:cs="Arial"/>
          <w:sz w:val="20"/>
        </w:rPr>
      </w:pPr>
      <w:r>
        <w:rPr>
          <w:rStyle w:val="Refdenotaalpie"/>
        </w:rPr>
        <w:footnoteRef/>
      </w:r>
      <w:r>
        <w:t xml:space="preserve"> </w:t>
      </w:r>
      <w:r w:rsidRPr="00024AC6">
        <w:rPr>
          <w:rFonts w:cs="Arial"/>
          <w:b/>
          <w:bCs/>
          <w:sz w:val="20"/>
        </w:rPr>
        <w:t>Artículo 79.</w:t>
      </w:r>
      <w:r w:rsidRPr="00024AC6">
        <w:rPr>
          <w:rFonts w:cs="Arial"/>
          <w:sz w:val="20"/>
        </w:rPr>
        <w:t xml:space="preserve"> No son contribuyentes del impuesto sobre la renta, las siguientes personas morales: (…)</w:t>
      </w:r>
      <w:r>
        <w:rPr>
          <w:rFonts w:cs="Arial"/>
          <w:sz w:val="20"/>
        </w:rPr>
        <w:t xml:space="preserve"> </w:t>
      </w:r>
    </w:p>
    <w:p w14:paraId="1CE18B40" w14:textId="5BD1479D" w:rsidR="006D5BEA" w:rsidRPr="00024AC6" w:rsidRDefault="006D5BEA" w:rsidP="006D5BEA">
      <w:pPr>
        <w:pStyle w:val="corte4fondo"/>
        <w:spacing w:line="240" w:lineRule="auto"/>
        <w:ind w:firstLine="0"/>
        <w:rPr>
          <w:sz w:val="22"/>
          <w:szCs w:val="14"/>
        </w:rPr>
      </w:pPr>
      <w:r w:rsidRPr="00024AC6">
        <w:rPr>
          <w:rFonts w:cs="Arial"/>
          <w:sz w:val="20"/>
        </w:rPr>
        <w:t>Las personas morales a que se refieren las fracciones V, VI, VII, IX, X, XI, XIII, XVI, XVII, XVIII, XIX, XX, XXIV y XXV de este artículo, así como las personas morales y fideicomisos autorizados para recibir donativos deducibles de impuestos, y los fondos de inversión a que se refiere este Título, considerarán remanente distribuible, aun cuando no lo hayan entregado en efectivo o en bienes a sus integrantes o socios, el importe de las omisiones de ingresos o las compras no realizadas e indebidamente registradas; las erogaciones que efectúen y no sean deducibles en los términos del Título IV de esta Ley;</w:t>
      </w:r>
      <w:r>
        <w:rPr>
          <w:rFonts w:cs="Arial"/>
          <w:b/>
          <w:bCs/>
          <w:sz w:val="20"/>
          <w:u w:val="single"/>
        </w:rPr>
        <w:t xml:space="preserve"> </w:t>
      </w:r>
      <w:r w:rsidRPr="00024AC6">
        <w:rPr>
          <w:rFonts w:cs="Arial"/>
          <w:sz w:val="20"/>
        </w:rPr>
        <w:t>los préstamos que hagan a sus socios o integrantes, o a los cónyuges, ascendientes o descendientes en línea recta de dichos socios o integrantes salvo en el caso de préstamos a los socios o integrantes de las sociedades cooperativas de ahorro y préstamo a que se refiere la fracción XIII de este artículo. Tratándose de préstamos que en los términos de este párrafo se consideren remanente distribuible, su importe se disminuirá de los remanentes distribuibles que la persona moral distribuya a sus socios o integrantes.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854CB9">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34791C1" w:rsidR="0048582B" w:rsidRPr="00046D48" w:rsidRDefault="0048582B" w:rsidP="00854CB9">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854CB9">
      <w:rPr>
        <w:rFonts w:ascii="Arial Nova" w:hAnsi="Arial Nova" w:cs="Times New Roman"/>
        <w:b/>
        <w:bCs/>
        <w:color w:val="002060"/>
        <w:sz w:val="20"/>
        <w:szCs w:val="20"/>
      </w:rPr>
      <w:t>130</w:t>
    </w:r>
    <w:r w:rsidRPr="00046D48">
      <w:rPr>
        <w:rFonts w:ascii="Arial Nova" w:hAnsi="Arial Nova" w:cs="Times New Roman"/>
        <w:b/>
        <w:bCs/>
        <w:color w:val="002060"/>
        <w:sz w:val="20"/>
        <w:szCs w:val="20"/>
      </w:rPr>
      <w:t>/202</w:t>
    </w:r>
    <w:r w:rsidR="00854CB9">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lang w:eastAsia="es-MX"/>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lang w:eastAsia="es-MX"/>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1550261686">
    <w:abstractNumId w:val="1"/>
  </w:num>
  <w:num w:numId="2" w16cid:durableId="101256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23"/>
    <w:rsid w:val="000015D9"/>
    <w:rsid w:val="000018A2"/>
    <w:rsid w:val="000036EB"/>
    <w:rsid w:val="000044C6"/>
    <w:rsid w:val="00012771"/>
    <w:rsid w:val="00014CF3"/>
    <w:rsid w:val="00023E29"/>
    <w:rsid w:val="00024AC6"/>
    <w:rsid w:val="00024AF3"/>
    <w:rsid w:val="00026C6C"/>
    <w:rsid w:val="00033000"/>
    <w:rsid w:val="00037474"/>
    <w:rsid w:val="0004681E"/>
    <w:rsid w:val="00046D48"/>
    <w:rsid w:val="000474D9"/>
    <w:rsid w:val="00055B89"/>
    <w:rsid w:val="000614E2"/>
    <w:rsid w:val="000643FD"/>
    <w:rsid w:val="00072FD1"/>
    <w:rsid w:val="000771DD"/>
    <w:rsid w:val="00080AAC"/>
    <w:rsid w:val="00084403"/>
    <w:rsid w:val="000911E5"/>
    <w:rsid w:val="00093A38"/>
    <w:rsid w:val="000A0E87"/>
    <w:rsid w:val="000A5B78"/>
    <w:rsid w:val="000A67FF"/>
    <w:rsid w:val="000A7E7B"/>
    <w:rsid w:val="000B04DC"/>
    <w:rsid w:val="000B39EC"/>
    <w:rsid w:val="000B569F"/>
    <w:rsid w:val="000C3CBD"/>
    <w:rsid w:val="000C6201"/>
    <w:rsid w:val="000D1A12"/>
    <w:rsid w:val="000D2EBD"/>
    <w:rsid w:val="000D4803"/>
    <w:rsid w:val="000D5F59"/>
    <w:rsid w:val="000E0245"/>
    <w:rsid w:val="000E045F"/>
    <w:rsid w:val="000E3651"/>
    <w:rsid w:val="000E64E7"/>
    <w:rsid w:val="000F00C8"/>
    <w:rsid w:val="000F495F"/>
    <w:rsid w:val="00100C8F"/>
    <w:rsid w:val="00101400"/>
    <w:rsid w:val="00101718"/>
    <w:rsid w:val="00104B16"/>
    <w:rsid w:val="001058A3"/>
    <w:rsid w:val="00111977"/>
    <w:rsid w:val="00114E7A"/>
    <w:rsid w:val="00117441"/>
    <w:rsid w:val="00121276"/>
    <w:rsid w:val="00121D2D"/>
    <w:rsid w:val="00126252"/>
    <w:rsid w:val="001268F0"/>
    <w:rsid w:val="00126C0B"/>
    <w:rsid w:val="00134364"/>
    <w:rsid w:val="00137AEB"/>
    <w:rsid w:val="00146208"/>
    <w:rsid w:val="00155F2E"/>
    <w:rsid w:val="00157632"/>
    <w:rsid w:val="0016052F"/>
    <w:rsid w:val="00160CAC"/>
    <w:rsid w:val="001621BB"/>
    <w:rsid w:val="00162364"/>
    <w:rsid w:val="001624A8"/>
    <w:rsid w:val="001633B5"/>
    <w:rsid w:val="00165F78"/>
    <w:rsid w:val="00166644"/>
    <w:rsid w:val="001724BA"/>
    <w:rsid w:val="001757EE"/>
    <w:rsid w:val="00176353"/>
    <w:rsid w:val="00176FF3"/>
    <w:rsid w:val="00177692"/>
    <w:rsid w:val="0018629A"/>
    <w:rsid w:val="00190BB8"/>
    <w:rsid w:val="00193381"/>
    <w:rsid w:val="00193595"/>
    <w:rsid w:val="001936AC"/>
    <w:rsid w:val="001949FA"/>
    <w:rsid w:val="00197921"/>
    <w:rsid w:val="001A0621"/>
    <w:rsid w:val="001A49C7"/>
    <w:rsid w:val="001A59DF"/>
    <w:rsid w:val="001A67C7"/>
    <w:rsid w:val="001A7541"/>
    <w:rsid w:val="001B4B68"/>
    <w:rsid w:val="001C01EC"/>
    <w:rsid w:val="001C0F20"/>
    <w:rsid w:val="001C2DB9"/>
    <w:rsid w:val="001C63EB"/>
    <w:rsid w:val="001D13B2"/>
    <w:rsid w:val="001D2111"/>
    <w:rsid w:val="001D21EB"/>
    <w:rsid w:val="001D4B75"/>
    <w:rsid w:val="001D5AB2"/>
    <w:rsid w:val="001E084E"/>
    <w:rsid w:val="001E25BF"/>
    <w:rsid w:val="001E577C"/>
    <w:rsid w:val="001E64C1"/>
    <w:rsid w:val="001E75D9"/>
    <w:rsid w:val="001F200E"/>
    <w:rsid w:val="001F378E"/>
    <w:rsid w:val="001F4F5F"/>
    <w:rsid w:val="001F658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3DB"/>
    <w:rsid w:val="00275EB5"/>
    <w:rsid w:val="00275F4F"/>
    <w:rsid w:val="00283A9B"/>
    <w:rsid w:val="002901D6"/>
    <w:rsid w:val="00291AB0"/>
    <w:rsid w:val="00292788"/>
    <w:rsid w:val="00296126"/>
    <w:rsid w:val="0029700B"/>
    <w:rsid w:val="002A6F62"/>
    <w:rsid w:val="002B0FC2"/>
    <w:rsid w:val="002B6947"/>
    <w:rsid w:val="002C0C35"/>
    <w:rsid w:val="002C41D3"/>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65F"/>
    <w:rsid w:val="00322A63"/>
    <w:rsid w:val="00323C00"/>
    <w:rsid w:val="00324B45"/>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214E"/>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2CF3"/>
    <w:rsid w:val="00413926"/>
    <w:rsid w:val="00414B37"/>
    <w:rsid w:val="00416322"/>
    <w:rsid w:val="004239C9"/>
    <w:rsid w:val="00435177"/>
    <w:rsid w:val="0044166C"/>
    <w:rsid w:val="00447670"/>
    <w:rsid w:val="0044784E"/>
    <w:rsid w:val="00447D23"/>
    <w:rsid w:val="00450AFE"/>
    <w:rsid w:val="004518CB"/>
    <w:rsid w:val="00452229"/>
    <w:rsid w:val="00452C04"/>
    <w:rsid w:val="00460D1E"/>
    <w:rsid w:val="004642F7"/>
    <w:rsid w:val="0046660B"/>
    <w:rsid w:val="004716A3"/>
    <w:rsid w:val="004723D9"/>
    <w:rsid w:val="004737F5"/>
    <w:rsid w:val="00476867"/>
    <w:rsid w:val="004835A9"/>
    <w:rsid w:val="00484742"/>
    <w:rsid w:val="004855FE"/>
    <w:rsid w:val="0048582B"/>
    <w:rsid w:val="00486D91"/>
    <w:rsid w:val="00492458"/>
    <w:rsid w:val="00492E22"/>
    <w:rsid w:val="0049636B"/>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969B7"/>
    <w:rsid w:val="005A3043"/>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3C70"/>
    <w:rsid w:val="005C6396"/>
    <w:rsid w:val="005C7783"/>
    <w:rsid w:val="005D02B6"/>
    <w:rsid w:val="005D4956"/>
    <w:rsid w:val="005D668C"/>
    <w:rsid w:val="005D7615"/>
    <w:rsid w:val="005D7AF6"/>
    <w:rsid w:val="005E054A"/>
    <w:rsid w:val="005E0CB6"/>
    <w:rsid w:val="005F33A7"/>
    <w:rsid w:val="005F6321"/>
    <w:rsid w:val="005F6734"/>
    <w:rsid w:val="006126BA"/>
    <w:rsid w:val="006146C9"/>
    <w:rsid w:val="00616BAF"/>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86D67"/>
    <w:rsid w:val="006916BA"/>
    <w:rsid w:val="00694131"/>
    <w:rsid w:val="006A0C3F"/>
    <w:rsid w:val="006A366D"/>
    <w:rsid w:val="006B2893"/>
    <w:rsid w:val="006B45A6"/>
    <w:rsid w:val="006B7665"/>
    <w:rsid w:val="006D203A"/>
    <w:rsid w:val="006D5BE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5FC2"/>
    <w:rsid w:val="00736530"/>
    <w:rsid w:val="00745528"/>
    <w:rsid w:val="007550E6"/>
    <w:rsid w:val="0075631D"/>
    <w:rsid w:val="00757007"/>
    <w:rsid w:val="007574DF"/>
    <w:rsid w:val="00760762"/>
    <w:rsid w:val="00761115"/>
    <w:rsid w:val="007616FA"/>
    <w:rsid w:val="00761B87"/>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620D"/>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4CB9"/>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8E562D"/>
    <w:rsid w:val="00900489"/>
    <w:rsid w:val="0090105E"/>
    <w:rsid w:val="009116D9"/>
    <w:rsid w:val="009143E0"/>
    <w:rsid w:val="00914C03"/>
    <w:rsid w:val="0091590C"/>
    <w:rsid w:val="0092351C"/>
    <w:rsid w:val="009243DB"/>
    <w:rsid w:val="00925421"/>
    <w:rsid w:val="00925968"/>
    <w:rsid w:val="00925F20"/>
    <w:rsid w:val="00926A47"/>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54A0"/>
    <w:rsid w:val="009A7F2E"/>
    <w:rsid w:val="009B0BCE"/>
    <w:rsid w:val="009B4895"/>
    <w:rsid w:val="009C12DD"/>
    <w:rsid w:val="009C33C3"/>
    <w:rsid w:val="009D0A51"/>
    <w:rsid w:val="009D4D4F"/>
    <w:rsid w:val="009D778B"/>
    <w:rsid w:val="009E1DB0"/>
    <w:rsid w:val="009E501E"/>
    <w:rsid w:val="009F092B"/>
    <w:rsid w:val="009F29E1"/>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669A1"/>
    <w:rsid w:val="00A71F20"/>
    <w:rsid w:val="00A762AD"/>
    <w:rsid w:val="00A85ADA"/>
    <w:rsid w:val="00A87F18"/>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23CDC"/>
    <w:rsid w:val="00B323DA"/>
    <w:rsid w:val="00B42CE3"/>
    <w:rsid w:val="00B43F5B"/>
    <w:rsid w:val="00B46855"/>
    <w:rsid w:val="00B46A1E"/>
    <w:rsid w:val="00B47781"/>
    <w:rsid w:val="00B50068"/>
    <w:rsid w:val="00B504A2"/>
    <w:rsid w:val="00B50628"/>
    <w:rsid w:val="00B5357A"/>
    <w:rsid w:val="00B6083A"/>
    <w:rsid w:val="00B62845"/>
    <w:rsid w:val="00B64D08"/>
    <w:rsid w:val="00B64E51"/>
    <w:rsid w:val="00B65914"/>
    <w:rsid w:val="00B661F6"/>
    <w:rsid w:val="00B6684A"/>
    <w:rsid w:val="00B74258"/>
    <w:rsid w:val="00B765F6"/>
    <w:rsid w:val="00B84509"/>
    <w:rsid w:val="00B85BDF"/>
    <w:rsid w:val="00B878EA"/>
    <w:rsid w:val="00B918FF"/>
    <w:rsid w:val="00B92B45"/>
    <w:rsid w:val="00B92B8A"/>
    <w:rsid w:val="00B92FF5"/>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2CAE"/>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0BD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765B"/>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43086"/>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CB6"/>
    <w:rsid w:val="00F07929"/>
    <w:rsid w:val="00F11871"/>
    <w:rsid w:val="00F120DC"/>
    <w:rsid w:val="00F1546D"/>
    <w:rsid w:val="00F16BCE"/>
    <w:rsid w:val="00F172CF"/>
    <w:rsid w:val="00F22959"/>
    <w:rsid w:val="00F318BB"/>
    <w:rsid w:val="00F34564"/>
    <w:rsid w:val="00F35270"/>
    <w:rsid w:val="00F41042"/>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761B87"/>
    <w:pPr>
      <w:spacing w:after="0" w:line="240" w:lineRule="auto"/>
    </w:pPr>
  </w:style>
  <w:style w:type="character" w:styleId="Refdecomentario">
    <w:name w:val="annotation reference"/>
    <w:basedOn w:val="Fuentedeprrafopredeter"/>
    <w:uiPriority w:val="99"/>
    <w:semiHidden/>
    <w:unhideWhenUsed/>
    <w:rsid w:val="005969B7"/>
    <w:rPr>
      <w:sz w:val="16"/>
      <w:szCs w:val="16"/>
    </w:rPr>
  </w:style>
  <w:style w:type="paragraph" w:styleId="Textocomentario">
    <w:name w:val="annotation text"/>
    <w:basedOn w:val="Normal"/>
    <w:link w:val="TextocomentarioCar"/>
    <w:uiPriority w:val="99"/>
    <w:unhideWhenUsed/>
    <w:rsid w:val="005969B7"/>
    <w:pPr>
      <w:spacing w:line="240" w:lineRule="auto"/>
    </w:pPr>
    <w:rPr>
      <w:sz w:val="20"/>
      <w:szCs w:val="20"/>
    </w:rPr>
  </w:style>
  <w:style w:type="character" w:customStyle="1" w:styleId="TextocomentarioCar">
    <w:name w:val="Texto comentario Car"/>
    <w:basedOn w:val="Fuentedeprrafopredeter"/>
    <w:link w:val="Textocomentario"/>
    <w:uiPriority w:val="99"/>
    <w:rsid w:val="005969B7"/>
    <w:rPr>
      <w:sz w:val="20"/>
      <w:szCs w:val="20"/>
    </w:rPr>
  </w:style>
  <w:style w:type="paragraph" w:styleId="Asuntodelcomentario">
    <w:name w:val="annotation subject"/>
    <w:basedOn w:val="Textocomentario"/>
    <w:next w:val="Textocomentario"/>
    <w:link w:val="AsuntodelcomentarioCar"/>
    <w:uiPriority w:val="99"/>
    <w:semiHidden/>
    <w:unhideWhenUsed/>
    <w:rsid w:val="005969B7"/>
    <w:rPr>
      <w:b/>
      <w:bCs/>
    </w:rPr>
  </w:style>
  <w:style w:type="character" w:customStyle="1" w:styleId="AsuntodelcomentarioCar">
    <w:name w:val="Asunto del comentario Car"/>
    <w:basedOn w:val="TextocomentarioCar"/>
    <w:link w:val="Asuntodelcomentario"/>
    <w:uiPriority w:val="99"/>
    <w:semiHidden/>
    <w:rsid w:val="005969B7"/>
    <w:rPr>
      <w:b/>
      <w:bCs/>
      <w:sz w:val="20"/>
      <w:szCs w:val="20"/>
    </w:rPr>
  </w:style>
  <w:style w:type="paragraph" w:customStyle="1" w:styleId="corte4fondo">
    <w:name w:val="corte4 fondo"/>
    <w:basedOn w:val="Normal"/>
    <w:link w:val="corte4fondoCar1"/>
    <w:qFormat/>
    <w:rsid w:val="00024AC6"/>
    <w:pPr>
      <w:spacing w:after="0" w:line="360" w:lineRule="auto"/>
      <w:ind w:firstLine="709"/>
      <w:jc w:val="both"/>
    </w:pPr>
    <w:rPr>
      <w:rFonts w:ascii="Arial" w:eastAsia="Times New Roman" w:hAnsi="Arial" w:cs="Times New Roman"/>
      <w:sz w:val="28"/>
      <w:szCs w:val="20"/>
      <w:lang w:val="es-ES_tradnl" w:eastAsia="es-ES"/>
    </w:rPr>
  </w:style>
  <w:style w:type="character" w:customStyle="1" w:styleId="corte4fondoCar1">
    <w:name w:val="corte4 fondo Car1"/>
    <w:link w:val="corte4fondo"/>
    <w:rsid w:val="00024AC6"/>
    <w:rPr>
      <w:rFonts w:ascii="Arial" w:eastAsia="Times New Roman" w:hAnsi="Arial"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2A91-2163-4D06-A055-09E5C2C6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702</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25</cp:revision>
  <cp:lastPrinted>2023-08-16T16:09:00Z</cp:lastPrinted>
  <dcterms:created xsi:type="dcterms:W3CDTF">2023-08-28T15:58:00Z</dcterms:created>
  <dcterms:modified xsi:type="dcterms:W3CDTF">2023-09-18T20:35:00Z</dcterms:modified>
</cp:coreProperties>
</file>