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7B74CA5D" w:rsidR="001C01EC" w:rsidRDefault="008C708A"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 xml:space="preserve">INTERÉS SUPERIOR DE LAS PERSONAS MENORES DE EDAD. </w:t>
      </w:r>
      <w:r w:rsidR="00A54C77">
        <w:rPr>
          <w:rFonts w:ascii="Arial Nova" w:hAnsi="Arial Nova" w:cs="Times New Roman"/>
          <w:b/>
          <w:bCs/>
          <w:smallCaps/>
          <w:color w:val="002060"/>
        </w:rPr>
        <w:t>ES PROCEDENTE ANALIZAR LA TERMINACIÓN DE UN COMODATO A LA LUZ DE</w:t>
      </w:r>
      <w:r>
        <w:rPr>
          <w:rFonts w:ascii="Arial Nova" w:hAnsi="Arial Nova" w:cs="Times New Roman"/>
          <w:b/>
          <w:bCs/>
          <w:smallCaps/>
          <w:color w:val="002060"/>
        </w:rPr>
        <w:t xml:space="preserve"> DICHO INTERÉS</w:t>
      </w:r>
      <w:r w:rsidR="00A54C77">
        <w:rPr>
          <w:rFonts w:ascii="Arial Nova" w:hAnsi="Arial Nova" w:cs="Times New Roman"/>
          <w:b/>
          <w:bCs/>
          <w:smallCaps/>
          <w:color w:val="002060"/>
        </w:rPr>
        <w:t xml:space="preserve">, CUANDO QUIEN EXIGE </w:t>
      </w:r>
      <w:r w:rsidR="00A92D4B">
        <w:rPr>
          <w:rFonts w:ascii="Arial Nova" w:hAnsi="Arial Nova" w:cs="Times New Roman"/>
          <w:b/>
          <w:bCs/>
          <w:smallCaps/>
          <w:color w:val="002060"/>
        </w:rPr>
        <w:t xml:space="preserve">SU </w:t>
      </w:r>
      <w:r w:rsidR="00A54C77">
        <w:rPr>
          <w:rFonts w:ascii="Arial Nova" w:hAnsi="Arial Nova" w:cs="Times New Roman"/>
          <w:b/>
          <w:bCs/>
          <w:smallCaps/>
          <w:color w:val="002060"/>
        </w:rPr>
        <w:t>TERMINACIÓN TAMBIÉN TIENE EL CARÁCT</w:t>
      </w:r>
      <w:r>
        <w:rPr>
          <w:rFonts w:ascii="Arial Nova" w:hAnsi="Arial Nova" w:cs="Times New Roman"/>
          <w:b/>
          <w:bCs/>
          <w:smallCaps/>
          <w:color w:val="002060"/>
        </w:rPr>
        <w:t>E</w:t>
      </w:r>
      <w:r w:rsidR="00A54C77">
        <w:rPr>
          <w:rFonts w:ascii="Arial Nova" w:hAnsi="Arial Nova" w:cs="Times New Roman"/>
          <w:b/>
          <w:bCs/>
          <w:smallCaps/>
          <w:color w:val="002060"/>
        </w:rPr>
        <w:t>R DE DEUDOR ALIMENTARIO</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56DA6D4C" w:rsidR="00832148" w:rsidRPr="00D47BAF" w:rsidRDefault="000018A2" w:rsidP="00854232">
      <w:pPr>
        <w:shd w:val="clear" w:color="auto" w:fill="EDEDED" w:themeFill="accent3" w:themeFillTint="33"/>
        <w:spacing w:after="0" w:line="240" w:lineRule="auto"/>
        <w:ind w:left="2552"/>
        <w:jc w:val="right"/>
        <w:rPr>
          <w:rFonts w:ascii="Arial Nova" w:hAnsi="Arial Nova" w:cs="Times New Roman"/>
          <w:smallCaps/>
          <w:color w:val="002060"/>
          <w:lang w:val="it-IT"/>
        </w:rPr>
      </w:pPr>
      <w:bookmarkStart w:id="0" w:name="_Hlk133506787"/>
      <w:bookmarkStart w:id="1" w:name="_Hlk133506760"/>
      <w:r w:rsidRPr="00D47BAF">
        <w:rPr>
          <w:rFonts w:ascii="Arial Nova" w:hAnsi="Arial Nova" w:cs="Times New Roman"/>
          <w:b/>
          <w:bCs/>
          <w:smallCaps/>
          <w:color w:val="002060"/>
          <w:lang w:val="it-IT"/>
        </w:rPr>
        <w:t xml:space="preserve">Ponente: </w:t>
      </w:r>
      <w:r w:rsidR="00DD0966" w:rsidRPr="00D47BAF">
        <w:rPr>
          <w:rFonts w:ascii="Arial Nova" w:hAnsi="Arial Nova" w:cs="Times New Roman"/>
          <w:b/>
          <w:bCs/>
          <w:smallCaps/>
          <w:color w:val="002060"/>
          <w:lang w:val="it-IT"/>
        </w:rPr>
        <w:t>Ministr</w:t>
      </w:r>
      <w:r w:rsidR="00A54C77" w:rsidRPr="00D47BAF">
        <w:rPr>
          <w:rFonts w:ascii="Arial Nova" w:hAnsi="Arial Nova" w:cs="Times New Roman"/>
          <w:b/>
          <w:bCs/>
          <w:smallCaps/>
          <w:color w:val="002060"/>
          <w:lang w:val="it-IT"/>
        </w:rPr>
        <w:t>a Loretta Ortiz Ahlf</w:t>
      </w:r>
      <w:r w:rsidR="00D645FE" w:rsidRPr="00D47BAF">
        <w:rPr>
          <w:rFonts w:ascii="Arial Nova" w:hAnsi="Arial Nova" w:cs="Times New Roman"/>
          <w:b/>
          <w:bCs/>
          <w:smallCaps/>
          <w:color w:val="002060"/>
          <w:lang w:val="it-IT"/>
        </w:rPr>
        <w:t>.</w:t>
      </w:r>
    </w:p>
    <w:p w14:paraId="1A57BD26" w14:textId="28B192F4" w:rsidR="00A54C77" w:rsidRDefault="000018A2" w:rsidP="00854232">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B3C18">
        <w:rPr>
          <w:rFonts w:ascii="Arial Nova" w:hAnsi="Arial Nova" w:cs="Times New Roman"/>
          <w:smallCaps/>
          <w:color w:val="002060"/>
        </w:rPr>
        <w:t>o</w:t>
      </w:r>
      <w:r w:rsidR="00A54C77">
        <w:rPr>
          <w:rFonts w:ascii="Arial Nova" w:hAnsi="Arial Nova" w:cs="Times New Roman"/>
          <w:smallCaps/>
          <w:color w:val="002060"/>
        </w:rPr>
        <w:t>s</w:t>
      </w:r>
      <w:r w:rsidR="00803455">
        <w:rPr>
          <w:rFonts w:ascii="Arial Nova" w:hAnsi="Arial Nova" w:cs="Times New Roman"/>
          <w:smallCaps/>
          <w:color w:val="002060"/>
        </w:rPr>
        <w:t>:</w:t>
      </w:r>
      <w:bookmarkEnd w:id="2"/>
      <w:r w:rsidR="00D645FE">
        <w:rPr>
          <w:rFonts w:ascii="Arial Nova" w:hAnsi="Arial Nova" w:cs="Times New Roman"/>
          <w:smallCaps/>
          <w:color w:val="002060"/>
        </w:rPr>
        <w:t xml:space="preserve"> </w:t>
      </w:r>
      <w:r w:rsidR="00A54C77">
        <w:rPr>
          <w:rFonts w:ascii="Arial Nova" w:hAnsi="Arial Nova" w:cs="Times New Roman"/>
          <w:smallCaps/>
          <w:color w:val="002060"/>
        </w:rPr>
        <w:t>Jimena Sofía Viveros Álvarez</w:t>
      </w:r>
      <w:r w:rsidR="008C708A">
        <w:rPr>
          <w:rFonts w:ascii="Arial Nova" w:hAnsi="Arial Nova" w:cs="Times New Roman"/>
          <w:smallCaps/>
          <w:color w:val="002060"/>
        </w:rPr>
        <w:t>,</w:t>
      </w:r>
      <w:r w:rsidR="00A54C77">
        <w:rPr>
          <w:rFonts w:ascii="Arial Nova" w:hAnsi="Arial Nova" w:cs="Times New Roman"/>
          <w:smallCaps/>
          <w:color w:val="002060"/>
        </w:rPr>
        <w:t xml:space="preserve"> y</w:t>
      </w:r>
    </w:p>
    <w:p w14:paraId="0C6789B4" w14:textId="75E4FE9A" w:rsidR="00DE375C" w:rsidRDefault="00A54C77" w:rsidP="0085423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Carlos Adrián López Sánchez</w:t>
      </w:r>
      <w:r w:rsidR="00DE375C">
        <w:rPr>
          <w:rFonts w:ascii="Arial Nova" w:hAnsi="Arial Nova" w:cs="Times New Roman"/>
          <w:smallCaps/>
          <w:color w:val="002060"/>
        </w:rPr>
        <w:t>.</w:t>
      </w:r>
    </w:p>
    <w:p w14:paraId="7AFFB61D" w14:textId="149FD780" w:rsidR="000B3C18" w:rsidRDefault="000B3C18" w:rsidP="00854232">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Secretari</w:t>
      </w:r>
      <w:r w:rsidR="008C708A">
        <w:rPr>
          <w:rFonts w:ascii="Arial Nova" w:hAnsi="Arial Nova" w:cs="Times New Roman"/>
          <w:smallCaps/>
          <w:color w:val="002060"/>
        </w:rPr>
        <w:t>a</w:t>
      </w:r>
      <w:r>
        <w:rPr>
          <w:rFonts w:ascii="Arial Nova" w:hAnsi="Arial Nova" w:cs="Times New Roman"/>
          <w:smallCaps/>
          <w:color w:val="002060"/>
        </w:rPr>
        <w:t xml:space="preserve"> Auxiliar:</w:t>
      </w:r>
      <w:r w:rsidR="00A54C77">
        <w:rPr>
          <w:rFonts w:ascii="Arial Nova" w:hAnsi="Arial Nova" w:cs="Times New Roman"/>
          <w:smallCaps/>
          <w:color w:val="002060"/>
        </w:rPr>
        <w:t xml:space="preserve"> Rocío Montserrat Fernández Nungaray</w:t>
      </w:r>
      <w:r>
        <w:rPr>
          <w:rFonts w:ascii="Arial Nova" w:hAnsi="Arial Nova" w:cs="Times New Roman"/>
          <w:smallCaps/>
          <w:color w:val="002060"/>
        </w:rPr>
        <w:t>.</w:t>
      </w:r>
    </w:p>
    <w:p w14:paraId="1C0B4F90" w14:textId="644C97B9" w:rsidR="001C01EC" w:rsidRPr="004C2D17" w:rsidRDefault="001C01EC" w:rsidP="00854232">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D645FE">
        <w:rPr>
          <w:rFonts w:ascii="Arial Nova" w:hAnsi="Arial Nova" w:cs="Times New Roman"/>
          <w:smallCaps/>
          <w:color w:val="002060"/>
        </w:rPr>
        <w:t xml:space="preserve"> </w:t>
      </w:r>
      <w:r w:rsidR="000B3C18">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w:t>
      </w:r>
      <w:r w:rsidR="00A54C77">
        <w:rPr>
          <w:rFonts w:ascii="Arial Nova" w:hAnsi="Arial Nova" w:cs="Times New Roman"/>
          <w:smallCaps/>
          <w:color w:val="002060"/>
        </w:rPr>
        <w:t>5272/2023</w:t>
      </w:r>
      <w:r w:rsidRPr="004C2D17">
        <w:rPr>
          <w:rFonts w:ascii="Arial Nova" w:hAnsi="Arial Nova" w:cs="Times New Roman"/>
          <w:smallCaps/>
        </w:rPr>
        <w:t>.</w:t>
      </w:r>
      <w:bookmarkEnd w:id="1"/>
      <w:bookmarkEnd w:id="3"/>
    </w:p>
    <w:p w14:paraId="3BF438E5" w14:textId="77777777" w:rsidR="001D024D" w:rsidRPr="001C01EC" w:rsidRDefault="001D024D"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Default="00772C59" w:rsidP="00772C59">
            <w:pPr>
              <w:tabs>
                <w:tab w:val="left" w:pos="0"/>
              </w:tabs>
              <w:contextualSpacing/>
              <w:jc w:val="both"/>
              <w:rPr>
                <w:rFonts w:ascii="Arial Nova" w:hAnsi="Arial Nova" w:cs="Times New Roman"/>
              </w:rPr>
            </w:pPr>
          </w:p>
          <w:p w14:paraId="6AB1215F" w14:textId="42514865" w:rsidR="00142798" w:rsidRPr="00142798" w:rsidRDefault="00A63575" w:rsidP="00854232">
            <w:pPr>
              <w:pStyle w:val="corte4fondo"/>
              <w:autoSpaceDE w:val="0"/>
              <w:autoSpaceDN w:val="0"/>
              <w:adjustRightInd w:val="0"/>
              <w:spacing w:line="240" w:lineRule="auto"/>
              <w:ind w:firstLine="0"/>
              <w:rPr>
                <w:rFonts w:ascii="Arial Nova" w:hAnsi="Arial Nova"/>
                <w:sz w:val="22"/>
                <w:szCs w:val="22"/>
              </w:rPr>
            </w:pPr>
            <w:r>
              <w:rPr>
                <w:rFonts w:ascii="Arial Nova" w:eastAsiaTheme="minorHAnsi" w:hAnsi="Arial Nova"/>
                <w:sz w:val="22"/>
                <w:szCs w:val="22"/>
                <w:lang w:val="es-MX" w:eastAsia="en-US"/>
              </w:rPr>
              <w:t>Una</w:t>
            </w:r>
            <w:r w:rsidRPr="00142798">
              <w:rPr>
                <w:rFonts w:ascii="Arial Nova" w:hAnsi="Arial Nova"/>
                <w:sz w:val="22"/>
                <w:szCs w:val="22"/>
              </w:rPr>
              <w:t xml:space="preserve"> </w:t>
            </w:r>
            <w:r w:rsidR="00142798" w:rsidRPr="00142798">
              <w:rPr>
                <w:rFonts w:ascii="Arial Nova" w:hAnsi="Arial Nova"/>
                <w:sz w:val="22"/>
                <w:szCs w:val="22"/>
              </w:rPr>
              <w:t xml:space="preserve">persona </w:t>
            </w:r>
            <w:r w:rsidR="00142798">
              <w:rPr>
                <w:rFonts w:ascii="Arial Nova" w:hAnsi="Arial Nova"/>
                <w:sz w:val="22"/>
                <w:szCs w:val="22"/>
              </w:rPr>
              <w:t>promovió</w:t>
            </w:r>
            <w:r w:rsidR="00142798" w:rsidRPr="00142798">
              <w:rPr>
                <w:rFonts w:ascii="Arial Nova" w:hAnsi="Arial Nova"/>
                <w:sz w:val="22"/>
                <w:szCs w:val="22"/>
              </w:rPr>
              <w:t xml:space="preserve"> </w:t>
            </w:r>
            <w:r w:rsidR="00142798">
              <w:rPr>
                <w:rFonts w:ascii="Arial Nova" w:hAnsi="Arial Nova"/>
                <w:sz w:val="22"/>
                <w:szCs w:val="22"/>
              </w:rPr>
              <w:t>juicio ordinario civil en contra de</w:t>
            </w:r>
            <w:r w:rsidR="00142798" w:rsidRPr="00142798">
              <w:rPr>
                <w:rFonts w:ascii="Arial Nova" w:hAnsi="Arial Nova"/>
                <w:sz w:val="22"/>
                <w:szCs w:val="22"/>
              </w:rPr>
              <w:t xml:space="preserve"> su ex concubina </w:t>
            </w:r>
            <w:r w:rsidR="00142798">
              <w:rPr>
                <w:rFonts w:ascii="Arial Nova" w:hAnsi="Arial Nova"/>
                <w:sz w:val="22"/>
                <w:szCs w:val="22"/>
              </w:rPr>
              <w:t xml:space="preserve">de quien reclamó </w:t>
            </w:r>
            <w:r w:rsidR="00142798" w:rsidRPr="00142798">
              <w:rPr>
                <w:rFonts w:ascii="Arial Nova" w:hAnsi="Arial Nova"/>
                <w:sz w:val="22"/>
                <w:szCs w:val="22"/>
              </w:rPr>
              <w:t xml:space="preserve">la terminación de un contrato verbal de comodato respecto de un inmueble ubicado en la Ciudad de México, así como su desocupación y entrega. </w:t>
            </w:r>
          </w:p>
          <w:p w14:paraId="285A39B7" w14:textId="77777777" w:rsidR="00142798" w:rsidRPr="00142798" w:rsidRDefault="00142798" w:rsidP="00854232">
            <w:pPr>
              <w:pStyle w:val="corte4fondo"/>
              <w:autoSpaceDE w:val="0"/>
              <w:autoSpaceDN w:val="0"/>
              <w:adjustRightInd w:val="0"/>
              <w:spacing w:line="240" w:lineRule="auto"/>
              <w:ind w:firstLine="0"/>
              <w:rPr>
                <w:rFonts w:ascii="Arial Nova" w:hAnsi="Arial Nova"/>
                <w:sz w:val="22"/>
                <w:szCs w:val="22"/>
              </w:rPr>
            </w:pPr>
          </w:p>
          <w:p w14:paraId="2864F327" w14:textId="175748D5" w:rsidR="00142798" w:rsidRPr="00142798" w:rsidRDefault="00142798" w:rsidP="00854232">
            <w:pPr>
              <w:pStyle w:val="corte4fondo"/>
              <w:autoSpaceDE w:val="0"/>
              <w:autoSpaceDN w:val="0"/>
              <w:adjustRightInd w:val="0"/>
              <w:spacing w:line="240" w:lineRule="auto"/>
              <w:ind w:firstLine="0"/>
              <w:rPr>
                <w:rFonts w:ascii="Arial Nova" w:hAnsi="Arial Nova"/>
                <w:sz w:val="22"/>
                <w:szCs w:val="22"/>
              </w:rPr>
            </w:pPr>
            <w:r w:rsidRPr="00142798">
              <w:rPr>
                <w:rFonts w:ascii="Arial Nova" w:hAnsi="Arial Nova"/>
                <w:sz w:val="22"/>
                <w:szCs w:val="22"/>
              </w:rPr>
              <w:t xml:space="preserve">En primera instancia, el juez civil determinó que si bien se acreditaba la procedencia de la acción —terminación de comodato— y la demandada no demostró sus defensas y excepciones, en el caso resultaba procedente dictar una resolución con perspectivas de género y de infancia, pues se advertía que en el procedimiento civil se encontraban </w:t>
            </w:r>
            <w:r w:rsidR="00A92D4B">
              <w:rPr>
                <w:rFonts w:ascii="Arial Nova" w:hAnsi="Arial Nova"/>
                <w:sz w:val="22"/>
                <w:szCs w:val="22"/>
              </w:rPr>
              <w:t>involucrados</w:t>
            </w:r>
            <w:r w:rsidR="00A92D4B" w:rsidRPr="00142798">
              <w:rPr>
                <w:rFonts w:ascii="Arial Nova" w:hAnsi="Arial Nova"/>
                <w:sz w:val="22"/>
                <w:szCs w:val="22"/>
              </w:rPr>
              <w:t xml:space="preserve"> </w:t>
            </w:r>
            <w:r w:rsidRPr="00142798">
              <w:rPr>
                <w:rFonts w:ascii="Arial Nova" w:hAnsi="Arial Nova"/>
                <w:sz w:val="22"/>
                <w:szCs w:val="22"/>
              </w:rPr>
              <w:t xml:space="preserve">derechos de una menor de edad </w:t>
            </w:r>
            <w:r w:rsidR="00592843" w:rsidRPr="00142798">
              <w:rPr>
                <w:rFonts w:ascii="Arial Nova" w:hAnsi="Arial Nova"/>
                <w:sz w:val="22"/>
                <w:szCs w:val="22"/>
              </w:rPr>
              <w:t>—</w:t>
            </w:r>
            <w:r w:rsidRPr="00142798">
              <w:rPr>
                <w:rFonts w:ascii="Arial Nova" w:hAnsi="Arial Nova"/>
                <w:sz w:val="22"/>
                <w:szCs w:val="22"/>
              </w:rPr>
              <w:t>hija de ambas partes</w:t>
            </w:r>
            <w:r w:rsidR="00592843" w:rsidRPr="00142798">
              <w:rPr>
                <w:rFonts w:ascii="Arial Nova" w:hAnsi="Arial Nova"/>
                <w:sz w:val="22"/>
                <w:szCs w:val="22"/>
              </w:rPr>
              <w:t>—</w:t>
            </w:r>
            <w:r w:rsidRPr="00142798">
              <w:rPr>
                <w:rFonts w:ascii="Arial Nova" w:hAnsi="Arial Nova"/>
                <w:sz w:val="22"/>
                <w:szCs w:val="22"/>
              </w:rPr>
              <w:t xml:space="preserve"> que habitaba en el inmueble propiedad del actor, razón por la cual determinó que no podía prosperar la acción y absolvió a la parte demandada de las prestaciones reclamadas.</w:t>
            </w:r>
          </w:p>
          <w:p w14:paraId="43D0F88F" w14:textId="77777777" w:rsidR="00142798" w:rsidRPr="00142798" w:rsidRDefault="00142798" w:rsidP="00854232">
            <w:pPr>
              <w:pStyle w:val="corte4fondo"/>
              <w:autoSpaceDE w:val="0"/>
              <w:autoSpaceDN w:val="0"/>
              <w:adjustRightInd w:val="0"/>
              <w:spacing w:line="240" w:lineRule="auto"/>
              <w:ind w:firstLine="0"/>
              <w:rPr>
                <w:rFonts w:ascii="Arial Nova" w:hAnsi="Arial Nova"/>
                <w:sz w:val="22"/>
                <w:szCs w:val="22"/>
              </w:rPr>
            </w:pPr>
          </w:p>
          <w:p w14:paraId="1AF118A9" w14:textId="3E1D55A0" w:rsidR="00A54C77" w:rsidRPr="00A54C77" w:rsidRDefault="00142798" w:rsidP="00854232">
            <w:pPr>
              <w:pStyle w:val="corte4fondo"/>
              <w:autoSpaceDE w:val="0"/>
              <w:autoSpaceDN w:val="0"/>
              <w:adjustRightInd w:val="0"/>
              <w:spacing w:line="240" w:lineRule="auto"/>
              <w:ind w:firstLine="0"/>
              <w:rPr>
                <w:rFonts w:ascii="Arial Nova" w:hAnsi="Arial Nova"/>
              </w:rPr>
            </w:pPr>
            <w:r w:rsidRPr="00142798">
              <w:rPr>
                <w:rFonts w:ascii="Arial Nova" w:hAnsi="Arial Nova"/>
                <w:sz w:val="22"/>
                <w:szCs w:val="22"/>
              </w:rPr>
              <w:t xml:space="preserve">Inconforme, la parte actora interpuso recurso de apelación, el cual se resolvió por la Sala responsable en sentido favorable a los intereses del recurrente. Al respecto, determinó que en el caso no resultaba procedente impartir justicia con perspectiva de infancia dado que los intereses y derechos de la niña no estaban involucrados. </w:t>
            </w:r>
            <w:r>
              <w:rPr>
                <w:rFonts w:ascii="Arial Nova" w:hAnsi="Arial Nova"/>
                <w:sz w:val="22"/>
                <w:szCs w:val="22"/>
              </w:rPr>
              <w:t>En desacuerdo, l</w:t>
            </w:r>
            <w:r w:rsidRPr="00142798">
              <w:rPr>
                <w:rFonts w:ascii="Arial Nova" w:hAnsi="Arial Nova"/>
                <w:sz w:val="22"/>
                <w:szCs w:val="22"/>
              </w:rPr>
              <w:t>a demandada promovió juicio de amparo directo, el cual fue negado por el Tribunal Colegiado de Circui</w:t>
            </w:r>
            <w:r>
              <w:rPr>
                <w:rFonts w:ascii="Arial Nova" w:hAnsi="Arial Nova"/>
                <w:sz w:val="22"/>
                <w:szCs w:val="22"/>
              </w:rPr>
              <w:t>to, decisión contra la que la quejosa interpuso un recurso de revisión.</w:t>
            </w:r>
          </w:p>
          <w:p w14:paraId="5500171B" w14:textId="77777777" w:rsidR="00A54C77" w:rsidRPr="00A54C77" w:rsidRDefault="00A54C77" w:rsidP="00A54C77">
            <w:pPr>
              <w:jc w:val="both"/>
              <w:rPr>
                <w:rFonts w:ascii="Arial Nova" w:hAnsi="Arial Nova" w:cs="Times New Roman"/>
              </w:rPr>
            </w:pPr>
          </w:p>
          <w:p w14:paraId="42B5B585" w14:textId="7A2D1C4C" w:rsidR="00772C59" w:rsidRDefault="00A54C77" w:rsidP="00A54C77">
            <w:pPr>
              <w:tabs>
                <w:tab w:val="left" w:pos="0"/>
              </w:tabs>
              <w:contextualSpacing/>
              <w:jc w:val="both"/>
              <w:rPr>
                <w:rFonts w:ascii="Arial Nova" w:hAnsi="Arial Nova" w:cs="Times New Roman"/>
              </w:rPr>
            </w:pPr>
            <w:r w:rsidRPr="00A54C77">
              <w:rPr>
                <w:rFonts w:ascii="Arial Nova" w:hAnsi="Arial Nova" w:cs="Times New Roman"/>
              </w:rPr>
              <w:t>En su fallo, el Alto Tribunal reflexionó que</w:t>
            </w:r>
            <w:r w:rsidR="00142798">
              <w:rPr>
                <w:rFonts w:ascii="Arial Nova" w:hAnsi="Arial Nova" w:cs="Times New Roman"/>
              </w:rPr>
              <w:t xml:space="preserve"> </w:t>
            </w:r>
            <w:r w:rsidR="00142798" w:rsidRPr="00142798">
              <w:rPr>
                <w:rFonts w:ascii="Arial Nova" w:hAnsi="Arial Nova" w:cs="Times New Roman"/>
              </w:rPr>
              <w:t xml:space="preserve">pueden existir procedimientos jurisdiccionales en los que </w:t>
            </w:r>
            <w:r w:rsidR="00A92D4B">
              <w:rPr>
                <w:rFonts w:ascii="Arial Nova" w:hAnsi="Arial Nova" w:cs="Times New Roman"/>
              </w:rPr>
              <w:t xml:space="preserve">aun cuando </w:t>
            </w:r>
            <w:r w:rsidR="00142798" w:rsidRPr="00142798">
              <w:rPr>
                <w:rFonts w:ascii="Arial Nova" w:hAnsi="Arial Nova" w:cs="Times New Roman"/>
              </w:rPr>
              <w:t xml:space="preserve">la persona menor de edad no figure como parte formal y la litis no exija dilucidar o resolver sobre sus derechos, </w:t>
            </w:r>
            <w:r w:rsidR="00A92D4B">
              <w:rPr>
                <w:rFonts w:ascii="Arial Nova" w:hAnsi="Arial Nova" w:cs="Times New Roman"/>
              </w:rPr>
              <w:t xml:space="preserve">la </w:t>
            </w:r>
            <w:r w:rsidR="00142798" w:rsidRPr="00142798">
              <w:rPr>
                <w:rFonts w:ascii="Arial Nova" w:hAnsi="Arial Nova" w:cs="Times New Roman"/>
              </w:rPr>
              <w:t xml:space="preserve">resolución sí pudiera afectar potencialmente sus intereses, dado el vínculo jurídico entre el derecho sustantivo de la persona menor de edad </w:t>
            </w:r>
            <w:r w:rsidR="00A92D4B">
              <w:rPr>
                <w:rFonts w:ascii="Arial Nova" w:hAnsi="Arial Nova" w:cs="Times New Roman"/>
              </w:rPr>
              <w:t>y</w:t>
            </w:r>
            <w:r w:rsidR="00997166">
              <w:rPr>
                <w:rFonts w:ascii="Arial Nova" w:hAnsi="Arial Nova" w:cs="Times New Roman"/>
              </w:rPr>
              <w:t xml:space="preserve"> </w:t>
            </w:r>
            <w:r w:rsidR="00A92D4B">
              <w:rPr>
                <w:rFonts w:ascii="Arial Nova" w:hAnsi="Arial Nova" w:cs="Times New Roman"/>
              </w:rPr>
              <w:t xml:space="preserve">las obligaciones a cargo </w:t>
            </w:r>
            <w:r w:rsidR="00142798" w:rsidRPr="00142798">
              <w:rPr>
                <w:rFonts w:ascii="Arial Nova" w:hAnsi="Arial Nova" w:cs="Times New Roman"/>
              </w:rPr>
              <w:t>de alguna de las partes en el proceso</w:t>
            </w:r>
            <w:r w:rsidRPr="00A54C77">
              <w:rPr>
                <w:rFonts w:ascii="Arial Nova" w:hAnsi="Arial Nova" w:cs="Times New Roman"/>
              </w:rPr>
              <w:t>.</w:t>
            </w:r>
          </w:p>
          <w:p w14:paraId="4E3EED77" w14:textId="77777777" w:rsidR="00592843" w:rsidRDefault="00592843" w:rsidP="00A54C77">
            <w:pPr>
              <w:tabs>
                <w:tab w:val="left" w:pos="0"/>
              </w:tabs>
              <w:contextualSpacing/>
              <w:jc w:val="both"/>
              <w:rPr>
                <w:rFonts w:ascii="Arial Nova" w:hAnsi="Arial Nova" w:cs="Times New Roman"/>
              </w:rPr>
            </w:pPr>
          </w:p>
          <w:p w14:paraId="0AC22298" w14:textId="77777777" w:rsidR="00592843" w:rsidRDefault="00592843" w:rsidP="00592843">
            <w:pPr>
              <w:tabs>
                <w:tab w:val="left" w:pos="0"/>
              </w:tabs>
              <w:contextualSpacing/>
              <w:jc w:val="both"/>
              <w:rPr>
                <w:rFonts w:ascii="Arial Nova" w:hAnsi="Arial Nova" w:cs="Times New Roman"/>
              </w:rPr>
            </w:pPr>
            <w:r>
              <w:rPr>
                <w:rFonts w:ascii="Arial Nova" w:hAnsi="Arial Nova" w:cs="Times New Roman"/>
              </w:rPr>
              <w:t xml:space="preserve">Por tal motivo, estableció que, en casos como en planteado, </w:t>
            </w:r>
            <w:r w:rsidRPr="00592843">
              <w:rPr>
                <w:rFonts w:ascii="Arial Nova" w:hAnsi="Arial Nova" w:cs="Times New Roman"/>
              </w:rPr>
              <w:t>las personas juzgadoras deben:</w:t>
            </w:r>
            <w:r>
              <w:rPr>
                <w:rFonts w:ascii="Arial Nova" w:hAnsi="Arial Nova" w:cs="Times New Roman"/>
              </w:rPr>
              <w:t xml:space="preserve"> (i) a</w:t>
            </w:r>
            <w:r w:rsidRPr="00592843">
              <w:rPr>
                <w:rFonts w:ascii="Arial Nova" w:hAnsi="Arial Nova" w:cs="Times New Roman"/>
              </w:rPr>
              <w:t xml:space="preserve">nalizar si existe alguna relación entre la parte actora y la persona menor de edad que imponga a aquella la obligación de satisfacer algún derecho sustantivo tutelado </w:t>
            </w:r>
            <w:r w:rsidRPr="00592843">
              <w:rPr>
                <w:rFonts w:ascii="Arial Nova" w:hAnsi="Arial Nova" w:cs="Times New Roman"/>
              </w:rPr>
              <w:lastRenderedPageBreak/>
              <w:t>constitucional o convencionalmente en beneficio de ésta;</w:t>
            </w:r>
            <w:r>
              <w:rPr>
                <w:rFonts w:ascii="Arial Nova" w:hAnsi="Arial Nova" w:cs="Times New Roman"/>
              </w:rPr>
              <w:t xml:space="preserve"> (</w:t>
            </w:r>
            <w:proofErr w:type="spellStart"/>
            <w:r>
              <w:rPr>
                <w:rFonts w:ascii="Arial Nova" w:hAnsi="Arial Nova" w:cs="Times New Roman"/>
              </w:rPr>
              <w:t>ii</w:t>
            </w:r>
            <w:proofErr w:type="spellEnd"/>
            <w:r>
              <w:rPr>
                <w:rFonts w:ascii="Arial Nova" w:hAnsi="Arial Nova" w:cs="Times New Roman"/>
              </w:rPr>
              <w:t xml:space="preserve">) </w:t>
            </w:r>
            <w:r w:rsidRPr="00592843">
              <w:rPr>
                <w:rFonts w:ascii="Arial Nova" w:hAnsi="Arial Nova" w:cs="Times New Roman"/>
              </w:rPr>
              <w:t>establecer el derecho o interés de la persona menor de edad que puede verse afectado con la resolución;</w:t>
            </w:r>
            <w:r>
              <w:rPr>
                <w:rFonts w:ascii="Arial Nova" w:hAnsi="Arial Nova" w:cs="Times New Roman"/>
              </w:rPr>
              <w:t xml:space="preserve"> (</w:t>
            </w:r>
            <w:proofErr w:type="spellStart"/>
            <w:r>
              <w:rPr>
                <w:rFonts w:ascii="Arial Nova" w:hAnsi="Arial Nova" w:cs="Times New Roman"/>
              </w:rPr>
              <w:t>iii</w:t>
            </w:r>
            <w:proofErr w:type="spellEnd"/>
            <w:r>
              <w:rPr>
                <w:rFonts w:ascii="Arial Nova" w:hAnsi="Arial Nova" w:cs="Times New Roman"/>
              </w:rPr>
              <w:t xml:space="preserve">) </w:t>
            </w:r>
            <w:r w:rsidRPr="00592843">
              <w:rPr>
                <w:rFonts w:ascii="Arial Nova" w:hAnsi="Arial Nova" w:cs="Times New Roman"/>
              </w:rPr>
              <w:t>determinar la función que tiene el bien que se disputa en la controversia respecto del derecho tutelado en beneficio de la persona menor de edad;</w:t>
            </w:r>
            <w:r>
              <w:rPr>
                <w:rFonts w:ascii="Arial Nova" w:hAnsi="Arial Nova" w:cs="Times New Roman"/>
              </w:rPr>
              <w:t xml:space="preserve"> (</w:t>
            </w:r>
            <w:proofErr w:type="spellStart"/>
            <w:r>
              <w:rPr>
                <w:rFonts w:ascii="Arial Nova" w:hAnsi="Arial Nova" w:cs="Times New Roman"/>
              </w:rPr>
              <w:t>iv</w:t>
            </w:r>
            <w:proofErr w:type="spellEnd"/>
            <w:r>
              <w:rPr>
                <w:rFonts w:ascii="Arial Nova" w:hAnsi="Arial Nova" w:cs="Times New Roman"/>
              </w:rPr>
              <w:t xml:space="preserve">) </w:t>
            </w:r>
            <w:r w:rsidRPr="00592843">
              <w:rPr>
                <w:rFonts w:ascii="Arial Nova" w:hAnsi="Arial Nova" w:cs="Times New Roman"/>
              </w:rPr>
              <w:t>dilucidar de manera fundada y motivada la forma en que la resolución puede incidir en el derecho de la persona menor de edad. De considerarlo necesario, recabar oficiosamente los medios probatorios tendientes a esclarecer la posible y potencial afectación a su esfera jurídica, y</w:t>
            </w:r>
            <w:r>
              <w:rPr>
                <w:rFonts w:ascii="Arial Nova" w:hAnsi="Arial Nova" w:cs="Times New Roman"/>
              </w:rPr>
              <w:t xml:space="preserve"> (v) </w:t>
            </w:r>
            <w:r w:rsidRPr="00592843">
              <w:rPr>
                <w:rFonts w:ascii="Arial Nova" w:hAnsi="Arial Nova" w:cs="Times New Roman"/>
              </w:rPr>
              <w:t xml:space="preserve">de concluir que los intereses de la persona menor de edad no se afectan con el dictado de la resolución, tendrá que resolver el juicio conforme a derecho corresponda. </w:t>
            </w:r>
          </w:p>
          <w:p w14:paraId="70C1E832" w14:textId="77777777" w:rsidR="00592843" w:rsidRDefault="00592843" w:rsidP="00592843">
            <w:pPr>
              <w:tabs>
                <w:tab w:val="left" w:pos="0"/>
              </w:tabs>
              <w:contextualSpacing/>
              <w:jc w:val="both"/>
              <w:rPr>
                <w:rFonts w:ascii="Arial Nova" w:hAnsi="Arial Nova" w:cs="Times New Roman"/>
              </w:rPr>
            </w:pPr>
          </w:p>
          <w:p w14:paraId="525F3729" w14:textId="7D3837CE" w:rsidR="00592843" w:rsidRDefault="00592843" w:rsidP="00592843">
            <w:pPr>
              <w:tabs>
                <w:tab w:val="left" w:pos="0"/>
              </w:tabs>
              <w:contextualSpacing/>
              <w:jc w:val="both"/>
              <w:rPr>
                <w:rFonts w:ascii="Arial Nova" w:hAnsi="Arial Nova" w:cs="Times New Roman"/>
              </w:rPr>
            </w:pPr>
            <w:r w:rsidRPr="00592843">
              <w:rPr>
                <w:rFonts w:ascii="Arial Nova" w:hAnsi="Arial Nova" w:cs="Times New Roman"/>
              </w:rPr>
              <w:t>Por el contrario, de estimar que sí se afecta su derecho, deberá asumir un papel proactivo y llevar a cabo todas aquellas medidas, acciones o abstenciones que considere necesarias para prevenir la afectación o impacto en el derecho o interés de la persona menor de edad, juzgando</w:t>
            </w:r>
            <w:r>
              <w:rPr>
                <w:rFonts w:ascii="Arial Nova" w:hAnsi="Arial Nova" w:cs="Times New Roman"/>
              </w:rPr>
              <w:t xml:space="preserve"> </w:t>
            </w:r>
            <w:r w:rsidRPr="00592843">
              <w:rPr>
                <w:rFonts w:ascii="Arial Nova" w:hAnsi="Arial Nova" w:cs="Times New Roman"/>
              </w:rPr>
              <w:t>con perspectiva de infancia y atendiendo al interés superior de la niñez.</w:t>
            </w:r>
          </w:p>
          <w:p w14:paraId="60B2C128" w14:textId="77777777" w:rsidR="00592843" w:rsidRDefault="00592843" w:rsidP="00592843">
            <w:pPr>
              <w:tabs>
                <w:tab w:val="left" w:pos="0"/>
              </w:tabs>
              <w:contextualSpacing/>
              <w:jc w:val="both"/>
              <w:rPr>
                <w:rFonts w:ascii="Arial Nova" w:hAnsi="Arial Nova" w:cs="Times New Roman"/>
              </w:rPr>
            </w:pPr>
          </w:p>
          <w:p w14:paraId="11222ED2" w14:textId="68ECC036" w:rsidR="00592843" w:rsidRDefault="00592843" w:rsidP="00592843">
            <w:pPr>
              <w:tabs>
                <w:tab w:val="left" w:pos="0"/>
              </w:tabs>
              <w:contextualSpacing/>
              <w:jc w:val="both"/>
              <w:rPr>
                <w:rFonts w:ascii="Arial Nova" w:hAnsi="Arial Nova" w:cs="Times New Roman"/>
              </w:rPr>
            </w:pPr>
            <w:r w:rsidRPr="00592843">
              <w:rPr>
                <w:rFonts w:ascii="Arial Nova" w:hAnsi="Arial Nova" w:cs="Times New Roman"/>
              </w:rPr>
              <w:t>A la luz de estas consideraciones, la Primera Sala revocó la sentencia impugnada y concedió el amparo solicitado para que el Tribunal de alzada deje insubsistente la sentencia reclamada y dicte una nueva con perspectivas de infancia y género</w:t>
            </w:r>
            <w:r>
              <w:rPr>
                <w:rFonts w:ascii="Arial Nova" w:hAnsi="Arial Nova" w:cs="Times New Roman"/>
              </w:rPr>
              <w:t>.</w:t>
            </w:r>
          </w:p>
          <w:p w14:paraId="068A96B6" w14:textId="30F1AE3A" w:rsidR="00A54C77" w:rsidRPr="00650F1C" w:rsidRDefault="00A54C77" w:rsidP="00A54C77">
            <w:pPr>
              <w:tabs>
                <w:tab w:val="left" w:pos="0"/>
              </w:tabs>
              <w:contextualSpacing/>
              <w:jc w:val="both"/>
              <w:rPr>
                <w:rFonts w:ascii="Times New Roman" w:hAnsi="Times New Roman" w:cs="Times New Roman"/>
                <w:sz w:val="20"/>
                <w:szCs w:val="20"/>
              </w:rPr>
            </w:pPr>
          </w:p>
        </w:tc>
      </w:tr>
    </w:tbl>
    <w:p w14:paraId="5BF492AD" w14:textId="77777777" w:rsidR="00C6695A" w:rsidRDefault="00C6695A" w:rsidP="00841A2D">
      <w:pPr>
        <w:spacing w:after="0" w:line="240" w:lineRule="auto"/>
        <w:jc w:val="both"/>
        <w:rPr>
          <w:rFonts w:ascii="Arial Nova" w:hAnsi="Arial Nova" w:cs="Times New Roman"/>
          <w:sz w:val="24"/>
          <w:szCs w:val="24"/>
        </w:rPr>
      </w:pPr>
    </w:p>
    <w:p w14:paraId="5E11D147" w14:textId="489BA328" w:rsidR="00212A31" w:rsidRPr="00642B2A" w:rsidRDefault="00212A31" w:rsidP="00854232">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515FAA37" w14:textId="77777777" w:rsidR="00212A31" w:rsidRDefault="00212A31" w:rsidP="00212A31">
      <w:pPr>
        <w:tabs>
          <w:tab w:val="left" w:pos="426"/>
        </w:tabs>
        <w:spacing w:after="0" w:line="240" w:lineRule="auto"/>
        <w:jc w:val="both"/>
        <w:rPr>
          <w:rFonts w:ascii="Arial Nova" w:hAnsi="Arial Nova" w:cs="Times New Roman"/>
          <w:sz w:val="24"/>
          <w:szCs w:val="24"/>
        </w:rPr>
      </w:pPr>
    </w:p>
    <w:p w14:paraId="7E504FB5" w14:textId="15CF2301"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r>
        <w:rPr>
          <w:rFonts w:ascii="Arial Nova" w:hAnsi="Arial Nova" w:cs="Times New Roman"/>
          <w:sz w:val="24"/>
          <w:szCs w:val="24"/>
        </w:rPr>
        <w:t>En el caso, se</w:t>
      </w:r>
      <w:r w:rsidR="00A54C77" w:rsidRPr="00A54C77">
        <w:rPr>
          <w:rFonts w:ascii="Arial Nova" w:hAnsi="Arial Nova" w:cs="Times New Roman"/>
          <w:sz w:val="24"/>
          <w:szCs w:val="24"/>
        </w:rPr>
        <w:t xml:space="preserve"> analizó un asunto </w:t>
      </w:r>
      <w:r w:rsidRPr="00142798">
        <w:rPr>
          <w:rFonts w:ascii="Arial Nova" w:hAnsi="Arial Nova" w:cs="Times New Roman"/>
          <w:sz w:val="24"/>
          <w:szCs w:val="24"/>
        </w:rPr>
        <w:t>en el que un hombre y una mujer sostuvieron una relación de concubinato. Desde su inicio, el hombre permitió a la mujer habitar de forma gratuita un inmueble de su propiedad, en el que vivió permanentemente con la niña que posteriormente procrearon.</w:t>
      </w:r>
    </w:p>
    <w:p w14:paraId="6A0EC3BE" w14:textId="77777777"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p>
    <w:p w14:paraId="53784CEE" w14:textId="77777777"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r w:rsidRPr="00142798">
        <w:rPr>
          <w:rFonts w:ascii="Arial Nova" w:hAnsi="Arial Nova" w:cs="Times New Roman"/>
          <w:sz w:val="24"/>
          <w:szCs w:val="24"/>
        </w:rPr>
        <w:t>Años después, la mujer demandó a su ex concubino, por vía de controversia del orden familiar, el pago de una pensión alimenticia tanto para ella como para su hija menor de edad, misma que le fue concedida. Posteriormente, el hombre promovió un juicio ordinario civil en el que demandó de su ex concubina la terminación del contrato verbal de comodato respecto del inmueble que habitaba, así como su desocupación y entrega.</w:t>
      </w:r>
    </w:p>
    <w:p w14:paraId="492C186F" w14:textId="77777777"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p>
    <w:p w14:paraId="3BB22939" w14:textId="5E33FA42"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r w:rsidRPr="00142798">
        <w:rPr>
          <w:rFonts w:ascii="Arial Nova" w:hAnsi="Arial Nova" w:cs="Times New Roman"/>
          <w:sz w:val="24"/>
          <w:szCs w:val="24"/>
        </w:rPr>
        <w:t xml:space="preserve">En primera instancia del juicio civil, el juzgador decidió que si bien se acreditaba la procedencia de la acción —terminación de comodato—, en el caso era procedente dictar una resolución con perspectivas de género y de infancia, pues en el procedimiento civil se encontraban </w:t>
      </w:r>
      <w:r w:rsidR="00997166">
        <w:rPr>
          <w:rFonts w:ascii="Arial Nova" w:hAnsi="Arial Nova" w:cs="Times New Roman"/>
          <w:sz w:val="24"/>
          <w:szCs w:val="24"/>
        </w:rPr>
        <w:t>involucrados</w:t>
      </w:r>
      <w:r w:rsidR="00997166" w:rsidRPr="00142798">
        <w:rPr>
          <w:rFonts w:ascii="Arial Nova" w:hAnsi="Arial Nova" w:cs="Times New Roman"/>
          <w:sz w:val="24"/>
          <w:szCs w:val="24"/>
        </w:rPr>
        <w:t xml:space="preserve"> </w:t>
      </w:r>
      <w:r w:rsidRPr="00142798">
        <w:rPr>
          <w:rFonts w:ascii="Arial Nova" w:hAnsi="Arial Nova" w:cs="Times New Roman"/>
          <w:sz w:val="24"/>
          <w:szCs w:val="24"/>
        </w:rPr>
        <w:t>derechos de una menor de edad —hija de ambas partes— que habitaba en el inmueble propiedad del actor, por lo que no podía prosperar la acción y se debía absolver a la parte demandada.</w:t>
      </w:r>
    </w:p>
    <w:p w14:paraId="3CE453D0" w14:textId="77777777" w:rsidR="00142798" w:rsidRPr="00142798" w:rsidRDefault="00142798" w:rsidP="00142798">
      <w:pPr>
        <w:tabs>
          <w:tab w:val="left" w:pos="0"/>
        </w:tabs>
        <w:spacing w:after="0" w:line="240" w:lineRule="auto"/>
        <w:contextualSpacing/>
        <w:jc w:val="both"/>
        <w:rPr>
          <w:rFonts w:ascii="Arial Nova" w:hAnsi="Arial Nova" w:cs="Times New Roman"/>
          <w:sz w:val="24"/>
          <w:szCs w:val="24"/>
        </w:rPr>
      </w:pPr>
    </w:p>
    <w:p w14:paraId="344DF779" w14:textId="44CA17D1" w:rsidR="00A54C77" w:rsidRPr="00A54C77" w:rsidRDefault="00142798" w:rsidP="00142798">
      <w:pPr>
        <w:tabs>
          <w:tab w:val="left" w:pos="0"/>
        </w:tabs>
        <w:spacing w:after="0" w:line="240" w:lineRule="auto"/>
        <w:contextualSpacing/>
        <w:jc w:val="both"/>
        <w:rPr>
          <w:rFonts w:ascii="Arial Nova" w:hAnsi="Arial Nova" w:cs="Times New Roman"/>
          <w:sz w:val="24"/>
          <w:szCs w:val="24"/>
        </w:rPr>
      </w:pPr>
      <w:r w:rsidRPr="00142798">
        <w:rPr>
          <w:rFonts w:ascii="Arial Nova" w:hAnsi="Arial Nova" w:cs="Times New Roman"/>
          <w:sz w:val="24"/>
          <w:szCs w:val="24"/>
        </w:rPr>
        <w:t xml:space="preserve">La decisión anterior fue revocada en apelación para declarar procedente la acción y condenar a la desocupación y entrega del inmueble. En desacuerdo, la mujer </w:t>
      </w:r>
      <w:r w:rsidRPr="00142798">
        <w:rPr>
          <w:rFonts w:ascii="Arial Nova" w:hAnsi="Arial Nova" w:cs="Times New Roman"/>
          <w:sz w:val="24"/>
          <w:szCs w:val="24"/>
        </w:rPr>
        <w:lastRenderedPageBreak/>
        <w:t>promovió juicio de amparo directo, el cual negó el Tribunal Colegiado a partir de lo establecido por la jurisprudencia 1a./J. 21/2021 (11a.) —en términos de la cual el derecho de alimentos (habitación) de las personas menores de edad es distinto al derecho de uso que sus progenitores defienden en un juicio de terminación de contrato de comodato respecto del inmueble donde habitan, por lo que en dicho juicio no procede analizar el asunto a la luz del interés superior de la infancia—. En contra de esa resolución, la mujer interpuso un recurso de revisión.</w:t>
      </w:r>
    </w:p>
    <w:p w14:paraId="795D48F5" w14:textId="77777777" w:rsidR="005F2096" w:rsidRPr="00F95966" w:rsidRDefault="005F2096" w:rsidP="00F95966">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DBC1063" w14:textId="6B8C1285" w:rsidR="00CA2359" w:rsidRDefault="00CA2359" w:rsidP="00CA2359">
      <w:pPr>
        <w:spacing w:after="0" w:line="240" w:lineRule="auto"/>
        <w:jc w:val="both"/>
        <w:rPr>
          <w:rFonts w:ascii="Arial Nova" w:hAnsi="Arial Nova" w:cs="Times New Roman"/>
          <w:sz w:val="24"/>
          <w:szCs w:val="24"/>
        </w:rPr>
      </w:pPr>
    </w:p>
    <w:p w14:paraId="2240E4A8"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En su fallo, el Alto Tribunal concluyó, en primer lugar, que los hechos de este caso eran distintos a los abordados en la jurisprudencia invocada por el Tribunal Colegiado, pues si bien la controversia que ahora se analiza no versaba sobre alguna obligación alimentaria y también se reclamaba la terminación del comodato, en ésta existió una relación de pareja entre las partes y la niña involucrada es hija del demandante, quien a su vez se encuentra obligado a satisfacer su derecho de alimentos.</w:t>
      </w:r>
    </w:p>
    <w:p w14:paraId="2E90C73E"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03385092"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 xml:space="preserve">Al respecto, la Primera Sala sostuvo que la obligación de otorgar alimentos actualiza un deber reforzado que vincula al Estado para verificar que el derecho sustantivo se satisfaga de forma integral, pues debe procurar </w:t>
      </w:r>
      <w:r w:rsidRPr="00854232">
        <w:rPr>
          <w:rFonts w:ascii="Arial Nova" w:hAnsi="Arial Nova" w:cs="Arial"/>
          <w:spacing w:val="4"/>
          <w:sz w:val="24"/>
          <w:szCs w:val="24"/>
        </w:rPr>
        <w:t xml:space="preserve">una mejora continua de las condiciones de existencia. Además, </w:t>
      </w:r>
      <w:r w:rsidRPr="00854232">
        <w:rPr>
          <w:rFonts w:ascii="Arial Nova" w:hAnsi="Arial Nova" w:cs="Arial"/>
          <w:sz w:val="24"/>
          <w:szCs w:val="24"/>
        </w:rPr>
        <w:t>exige satisfacer y garantizar los alimentos desde la perspectiva del derecho de quien los requiere y siempre de forma congruente con su objeto: asegurar que la persona menor de edad nazca, crezca y se desarrolle digna y adecuadamente, con las condiciones materiales necesarias para tal efecto, considerando que la satisfacción del derecho dependerá de las circunstancias fácticas y contextuales de cada caso concreto, siempre en concordancia con el principio de proporcionalidad que rige en la materia.</w:t>
      </w:r>
    </w:p>
    <w:p w14:paraId="2277A99D"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63B2A4D5"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Así, la Sala reconoció que pueden</w:t>
      </w:r>
      <w:r w:rsidRPr="00854232">
        <w:rPr>
          <w:rFonts w:ascii="Arial Nova" w:hAnsi="Arial Nova" w:cs="Arial"/>
          <w:b/>
          <w:bCs/>
          <w:sz w:val="24"/>
          <w:szCs w:val="24"/>
        </w:rPr>
        <w:t xml:space="preserve"> </w:t>
      </w:r>
      <w:r w:rsidRPr="00854232">
        <w:rPr>
          <w:rFonts w:ascii="Arial Nova" w:hAnsi="Arial Nova" w:cs="Arial"/>
          <w:sz w:val="24"/>
          <w:szCs w:val="24"/>
        </w:rPr>
        <w:t xml:space="preserve">existir procedimientos jurisdiccionales en los que la persona menor de edad no figure como parte formal y la </w:t>
      </w:r>
      <w:r w:rsidRPr="00854232">
        <w:rPr>
          <w:rFonts w:ascii="Arial Nova" w:hAnsi="Arial Nova" w:cs="Arial"/>
          <w:i/>
          <w:iCs/>
          <w:sz w:val="24"/>
          <w:szCs w:val="24"/>
        </w:rPr>
        <w:t>litis</w:t>
      </w:r>
      <w:r w:rsidRPr="00854232">
        <w:rPr>
          <w:rFonts w:ascii="Arial Nova" w:hAnsi="Arial Nova" w:cs="Arial"/>
          <w:sz w:val="24"/>
          <w:szCs w:val="24"/>
        </w:rPr>
        <w:t xml:space="preserve"> no exija dilucidar o resolver sobre sus derechos, pero su resolución sí pudiera afectar potencialmente sus intereses o derechos, dado el vínculo jurídico entre el derecho sustantivo de la persona menor de edad con los derechos de alguna de las partes en el proceso.</w:t>
      </w:r>
    </w:p>
    <w:p w14:paraId="576A6415"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278E5844"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 xml:space="preserve">Como resultado del estudio, la Primera Sala resolvió que, en aquellos procedimientos jurisdiccionales que debieran regirse por el principio dispositivo en materia civil —en virtud del cual quien imparte justicia no puede sustituir a las partes en sus argumentos ni resolver más allá de lo hecho valer por éstas—, al no tener como propósito decidir sobre los derechos de una persona menor de edad, pero su resolución incide en su esfera jurídica porque el bien materia del juicio está íntimamente vinculado con alguno de sus derechos sustantivos, y la titularidad de </w:t>
      </w:r>
      <w:r w:rsidRPr="00854232">
        <w:rPr>
          <w:rFonts w:ascii="Arial Nova" w:hAnsi="Arial Nova" w:cs="Arial"/>
          <w:sz w:val="24"/>
          <w:szCs w:val="24"/>
        </w:rPr>
        <w:lastRenderedPageBreak/>
        <w:t>éste —en este caso, la propiedad del bien inmueble— corresponde a quien lo utiliza para satisfacer el derecho de que se trata o cumplir con un deber jurídico a su cargo —como la obligación de proporcionar habitación—, las personas juzgadoras deben:</w:t>
      </w:r>
    </w:p>
    <w:p w14:paraId="1ADCEBFE"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28562719" w14:textId="77777777" w:rsidR="00142798" w:rsidRPr="00854232" w:rsidRDefault="00142798" w:rsidP="00142798">
      <w:pPr>
        <w:pStyle w:val="Prrafodelista"/>
        <w:numPr>
          <w:ilvl w:val="0"/>
          <w:numId w:val="3"/>
        </w:numPr>
        <w:tabs>
          <w:tab w:val="left" w:pos="0"/>
        </w:tabs>
        <w:spacing w:after="0" w:line="240" w:lineRule="auto"/>
        <w:jc w:val="both"/>
        <w:rPr>
          <w:rFonts w:ascii="Arial Nova" w:hAnsi="Arial Nova" w:cs="Arial"/>
          <w:sz w:val="24"/>
          <w:szCs w:val="24"/>
        </w:rPr>
      </w:pPr>
      <w:r w:rsidRPr="00854232">
        <w:rPr>
          <w:rFonts w:ascii="Arial Nova" w:hAnsi="Arial Nova" w:cs="Arial"/>
          <w:sz w:val="24"/>
          <w:szCs w:val="24"/>
        </w:rPr>
        <w:t>analizar si existe alguna relación entre la parte actora y la persona menor de edad que imponga a aquella la obligación de satisfacer algún derecho sustantivo tutelado constitucional o convencionalmente en beneficio de ésta;</w:t>
      </w:r>
    </w:p>
    <w:p w14:paraId="0C26A9ED"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42519348" w14:textId="77777777" w:rsidR="00142798" w:rsidRPr="00854232" w:rsidRDefault="00142798" w:rsidP="00142798">
      <w:pPr>
        <w:pStyle w:val="Prrafodelista"/>
        <w:numPr>
          <w:ilvl w:val="0"/>
          <w:numId w:val="3"/>
        </w:numPr>
        <w:tabs>
          <w:tab w:val="left" w:pos="0"/>
        </w:tabs>
        <w:spacing w:after="0" w:line="240" w:lineRule="auto"/>
        <w:jc w:val="both"/>
        <w:rPr>
          <w:rFonts w:ascii="Arial Nova" w:hAnsi="Arial Nova" w:cs="Arial"/>
          <w:sz w:val="24"/>
          <w:szCs w:val="24"/>
        </w:rPr>
      </w:pPr>
      <w:r w:rsidRPr="00854232">
        <w:rPr>
          <w:rFonts w:ascii="Arial Nova" w:hAnsi="Arial Nova" w:cs="Arial"/>
          <w:sz w:val="24"/>
          <w:szCs w:val="24"/>
        </w:rPr>
        <w:t>establecer el derecho o interés de la persona menor de edad que puede verse afectado con la resolución;</w:t>
      </w:r>
    </w:p>
    <w:p w14:paraId="4E8C151C"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6F12B8D9" w14:textId="77777777" w:rsidR="00142798" w:rsidRPr="00854232" w:rsidRDefault="00142798" w:rsidP="00142798">
      <w:pPr>
        <w:pStyle w:val="Prrafodelista"/>
        <w:numPr>
          <w:ilvl w:val="0"/>
          <w:numId w:val="3"/>
        </w:numPr>
        <w:tabs>
          <w:tab w:val="left" w:pos="0"/>
        </w:tabs>
        <w:spacing w:after="0" w:line="240" w:lineRule="auto"/>
        <w:jc w:val="both"/>
        <w:rPr>
          <w:rFonts w:ascii="Arial Nova" w:hAnsi="Arial Nova" w:cs="Arial"/>
          <w:sz w:val="24"/>
          <w:szCs w:val="24"/>
        </w:rPr>
      </w:pPr>
      <w:r w:rsidRPr="00854232">
        <w:rPr>
          <w:rFonts w:ascii="Arial Nova" w:hAnsi="Arial Nova" w:cs="Arial"/>
          <w:sz w:val="24"/>
          <w:szCs w:val="24"/>
        </w:rPr>
        <w:t>determinar la función que tiene el bien que se disputa en la controversia respecto del derecho tutelado en beneficio de la persona menor de edad;</w:t>
      </w:r>
    </w:p>
    <w:p w14:paraId="3C4A4954"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08EBF5F5" w14:textId="77777777" w:rsidR="00142798" w:rsidRPr="00854232" w:rsidRDefault="00142798" w:rsidP="00142798">
      <w:pPr>
        <w:pStyle w:val="Prrafodelista"/>
        <w:numPr>
          <w:ilvl w:val="0"/>
          <w:numId w:val="3"/>
        </w:numPr>
        <w:tabs>
          <w:tab w:val="left" w:pos="0"/>
        </w:tabs>
        <w:spacing w:after="0" w:line="240" w:lineRule="auto"/>
        <w:jc w:val="both"/>
        <w:rPr>
          <w:rFonts w:ascii="Arial Nova" w:hAnsi="Arial Nova" w:cs="Arial"/>
          <w:sz w:val="24"/>
          <w:szCs w:val="24"/>
        </w:rPr>
      </w:pPr>
      <w:r w:rsidRPr="00854232">
        <w:rPr>
          <w:rFonts w:ascii="Arial Nova" w:hAnsi="Arial Nova" w:cs="Arial"/>
          <w:sz w:val="24"/>
          <w:szCs w:val="24"/>
        </w:rPr>
        <w:t>dilucidar de manera fundada y motivada la forma en que la resolución puede incidir en el derecho de la persona menor de edad. De considerarlo necesario, recabar oficiosamente los medios probatorios tendientes a esclarecer la posible y potencial afectación a su esfera jurídica, y</w:t>
      </w:r>
    </w:p>
    <w:p w14:paraId="5F4774B2"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5354AF73" w14:textId="77777777" w:rsidR="00142798" w:rsidRPr="00854232" w:rsidRDefault="00142798" w:rsidP="00142798">
      <w:pPr>
        <w:pStyle w:val="Prrafodelista"/>
        <w:numPr>
          <w:ilvl w:val="0"/>
          <w:numId w:val="3"/>
        </w:numPr>
        <w:tabs>
          <w:tab w:val="left" w:pos="0"/>
        </w:tabs>
        <w:spacing w:after="0" w:line="240" w:lineRule="auto"/>
        <w:jc w:val="both"/>
        <w:rPr>
          <w:rFonts w:ascii="Arial Nova" w:hAnsi="Arial Nova" w:cs="Arial"/>
          <w:sz w:val="24"/>
          <w:szCs w:val="24"/>
        </w:rPr>
      </w:pPr>
      <w:r w:rsidRPr="00854232">
        <w:rPr>
          <w:rFonts w:ascii="Arial Nova" w:hAnsi="Arial Nova" w:cs="Arial"/>
          <w:sz w:val="24"/>
          <w:szCs w:val="24"/>
        </w:rPr>
        <w:t>de concluir que los intereses de la persona menor de edad no se afectan con el dictado de la resolución, tendrá que resolver el juicio conforme a derecho corresponda. Por el contrario, de estimar que sí se afecta su derecho, deberá asumir un papel proactivo y llevar a cabo todas aquellas medidas, acciones o abstenciones que considere necesarias para prevenir la afectación o impacto en el derecho o interés de la persona menor de edad, juzgando con perspectiva de infancia y atendiendo al interés superior de la niñez.</w:t>
      </w:r>
    </w:p>
    <w:p w14:paraId="72DB9FFF"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6E95F5F1"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A la luz de estas consideraciones, la Primera Sala revocó la sentencia impugnada y concedió el amparo solicitado para que el Tribunal de alzada deje insubsistente la sentencia reclamada y dicte una nueva con perspectivas de infancia y género, que atienda a la diversa controversia familiar en la que se decretó el pago de alimentos, cuestión que implica tomar en cuenta la forma en que dicha obligación fue garantizada, así como el posible impacto que puede causar en la obligación alimentaria una sentencia que, en su caso, condene a la demandada —quien tiene la custodia de la persona menor de edad— a la entrega y desocupación del inmueble objeto de la controversia.</w:t>
      </w:r>
    </w:p>
    <w:p w14:paraId="0A090595"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p>
    <w:p w14:paraId="1727CF51" w14:textId="77777777" w:rsidR="00142798" w:rsidRPr="00854232" w:rsidRDefault="00142798" w:rsidP="00142798">
      <w:pPr>
        <w:tabs>
          <w:tab w:val="left" w:pos="0"/>
        </w:tabs>
        <w:spacing w:after="0" w:line="240" w:lineRule="auto"/>
        <w:contextualSpacing/>
        <w:jc w:val="both"/>
        <w:rPr>
          <w:rFonts w:ascii="Arial Nova" w:hAnsi="Arial Nova" w:cs="Arial"/>
          <w:sz w:val="24"/>
          <w:szCs w:val="24"/>
        </w:rPr>
      </w:pPr>
      <w:r w:rsidRPr="00854232">
        <w:rPr>
          <w:rFonts w:ascii="Arial Nova" w:hAnsi="Arial Nova" w:cs="Arial"/>
          <w:sz w:val="24"/>
          <w:szCs w:val="24"/>
        </w:rPr>
        <w:t xml:space="preserve">Finalmente, la Sala precisó que este criterio no constituye un abandono o contradicción de lo sostenido en la jurisprudencia 1a./J. 21/2021 (11a.) referida, ya que, en el asunto ahora analizado, el actor —propietario del bien— es una de las personas obligadas a cumplir con la obligación alimentaria en beneficio de la </w:t>
      </w:r>
      <w:r w:rsidRPr="00854232">
        <w:rPr>
          <w:rFonts w:ascii="Arial Nova" w:hAnsi="Arial Nova" w:cs="Arial"/>
          <w:sz w:val="24"/>
          <w:szCs w:val="24"/>
        </w:rPr>
        <w:lastRenderedPageBreak/>
        <w:t>persona menor de edad que habita el inmueble, por lo que en este supuesto sí existe identidad entre el derecho sustantivo y el mecanismo empleado para satisfacerlo.</w:t>
      </w:r>
    </w:p>
    <w:p w14:paraId="079BC603" w14:textId="77777777" w:rsidR="001C2010" w:rsidRPr="0092066A" w:rsidRDefault="001C2010" w:rsidP="001C2010">
      <w:pPr>
        <w:spacing w:after="0" w:line="240" w:lineRule="auto"/>
        <w:jc w:val="both"/>
        <w:rPr>
          <w:rFonts w:ascii="Arial" w:hAnsi="Arial" w:cs="Arial"/>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2A3E1E54"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A2359">
        <w:rPr>
          <w:rFonts w:ascii="Arial Nova" w:hAnsi="Arial Nova" w:cs="Times New Roman"/>
          <w:sz w:val="24"/>
          <w:szCs w:val="24"/>
        </w:rPr>
        <w:t>2</w:t>
      </w:r>
      <w:r w:rsidR="000E0C6A">
        <w:rPr>
          <w:rFonts w:ascii="Arial Nova" w:hAnsi="Arial Nova" w:cs="Times New Roman"/>
          <w:sz w:val="24"/>
          <w:szCs w:val="24"/>
        </w:rPr>
        <w:t>9</w:t>
      </w:r>
      <w:r w:rsidR="00CA2359">
        <w:rPr>
          <w:rFonts w:ascii="Arial Nova" w:hAnsi="Arial Nova" w:cs="Times New Roman"/>
          <w:sz w:val="24"/>
          <w:szCs w:val="24"/>
        </w:rPr>
        <w:t xml:space="preserve"> </w:t>
      </w:r>
      <w:r w:rsidR="001C2010">
        <w:rPr>
          <w:rFonts w:ascii="Arial Nova" w:hAnsi="Arial Nova" w:cs="Times New Roman"/>
          <w:sz w:val="24"/>
          <w:szCs w:val="24"/>
        </w:rPr>
        <w:t xml:space="preserve">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A54C77">
        <w:rPr>
          <w:rFonts w:ascii="Arial Nova" w:hAnsi="Arial Nova" w:cs="Times New Roman"/>
          <w:sz w:val="24"/>
          <w:szCs w:val="24"/>
        </w:rPr>
        <w:t xml:space="preserve">mayoría de cuatro votos </w:t>
      </w:r>
      <w:r w:rsidR="00CA2359">
        <w:rPr>
          <w:rFonts w:ascii="Arial Nova" w:hAnsi="Arial Nova" w:cs="Times New Roman"/>
          <w:sz w:val="24"/>
          <w:szCs w:val="24"/>
        </w:rPr>
        <w:t xml:space="preserve">de la Señora Ministra </w:t>
      </w:r>
      <w:r w:rsidR="0038791E">
        <w:rPr>
          <w:rFonts w:ascii="Arial Nova" w:hAnsi="Arial Nova" w:cs="Times New Roman"/>
          <w:sz w:val="24"/>
          <w:szCs w:val="24"/>
        </w:rPr>
        <w:t>Loretta Ortiz Ahlf</w:t>
      </w:r>
      <w:r w:rsidR="00212A31">
        <w:rPr>
          <w:rFonts w:ascii="Arial Nova" w:hAnsi="Arial Nova" w:cs="Times New Roman"/>
          <w:sz w:val="24"/>
          <w:szCs w:val="24"/>
        </w:rPr>
        <w:t xml:space="preserve"> y Ana Margarita Ríos Farjat</w:t>
      </w:r>
      <w:r w:rsidR="0038791E">
        <w:rPr>
          <w:rFonts w:ascii="Arial Nova" w:hAnsi="Arial Nova" w:cs="Times New Roman"/>
          <w:sz w:val="24"/>
          <w:szCs w:val="24"/>
        </w:rPr>
        <w:t xml:space="preserve">, así como de los Señores Ministros </w:t>
      </w:r>
      <w:r w:rsidR="0038791E" w:rsidRPr="00E32435">
        <w:rPr>
          <w:rFonts w:ascii="Arial Nova" w:hAnsi="Arial Nova" w:cs="Times New Roman"/>
          <w:sz w:val="24"/>
          <w:szCs w:val="24"/>
        </w:rPr>
        <w:t>Juan Luis González Alcántara Carrancá</w:t>
      </w:r>
      <w:r w:rsidR="000E0C6A">
        <w:rPr>
          <w:rFonts w:ascii="Arial Nova" w:hAnsi="Arial Nova" w:cs="Times New Roman"/>
          <w:sz w:val="24"/>
          <w:szCs w:val="24"/>
        </w:rPr>
        <w:t xml:space="preserve">, </w:t>
      </w:r>
      <w:r w:rsidR="00A54C77">
        <w:rPr>
          <w:rFonts w:ascii="Arial Nova" w:hAnsi="Arial Nova" w:cs="Times New Roman"/>
          <w:sz w:val="24"/>
          <w:szCs w:val="24"/>
        </w:rPr>
        <w:t xml:space="preserve">y </w:t>
      </w:r>
      <w:r w:rsidR="00A014D9">
        <w:rPr>
          <w:rFonts w:ascii="Arial Nova" w:hAnsi="Arial Nova" w:cs="Times New Roman"/>
          <w:sz w:val="24"/>
          <w:szCs w:val="24"/>
        </w:rPr>
        <w:t>Alfredo Gutiérrez Ortiz Mena</w:t>
      </w:r>
      <w:r w:rsidR="00142798" w:rsidRPr="00142798">
        <w:rPr>
          <w:rFonts w:ascii="Arial Nova" w:hAnsi="Arial Nova" w:cs="Times New Roman"/>
          <w:sz w:val="24"/>
          <w:szCs w:val="24"/>
        </w:rPr>
        <w:t>, quien está con el sentido, pero se separa de los párrafos ochenta y siete y ciento once</w:t>
      </w:r>
      <w:r w:rsidR="00A54C77">
        <w:rPr>
          <w:rFonts w:ascii="Arial Nova" w:hAnsi="Arial Nova" w:cs="Times New Roman"/>
          <w:sz w:val="24"/>
          <w:szCs w:val="24"/>
        </w:rPr>
        <w:t xml:space="preserve">. En contra del emitido por el Ministro </w:t>
      </w:r>
      <w:r w:rsidR="00CA2359">
        <w:rPr>
          <w:rFonts w:ascii="Arial Nova" w:hAnsi="Arial Nova" w:cs="Times New Roman"/>
          <w:sz w:val="24"/>
          <w:szCs w:val="24"/>
        </w:rPr>
        <w:t>Jorge Mario Pardo Rebolledo (Presidente)</w:t>
      </w:r>
      <w:r w:rsidR="00142798">
        <w:rPr>
          <w:rFonts w:ascii="Arial Nova" w:hAnsi="Arial Nova" w:cs="Times New Roman"/>
          <w:sz w:val="24"/>
          <w:szCs w:val="24"/>
        </w:rPr>
        <w:t>, quien se reservó su derecho a formular voto particular</w:t>
      </w:r>
      <w:r w:rsidR="00CA2359">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D4B5" w14:textId="77777777" w:rsidR="008151DD" w:rsidRDefault="008151DD" w:rsidP="000A7E7B">
      <w:pPr>
        <w:spacing w:after="0" w:line="240" w:lineRule="auto"/>
      </w:pPr>
      <w:r>
        <w:separator/>
      </w:r>
    </w:p>
    <w:p w14:paraId="321AFBDF" w14:textId="77777777" w:rsidR="008151DD" w:rsidRDefault="008151DD"/>
  </w:endnote>
  <w:endnote w:type="continuationSeparator" w:id="0">
    <w:p w14:paraId="5E535DBB" w14:textId="77777777" w:rsidR="008151DD" w:rsidRDefault="008151DD" w:rsidP="000A7E7B">
      <w:pPr>
        <w:spacing w:after="0" w:line="240" w:lineRule="auto"/>
      </w:pPr>
      <w:r>
        <w:continuationSeparator/>
      </w:r>
    </w:p>
    <w:p w14:paraId="3F3FBAE8" w14:textId="77777777" w:rsidR="008151DD" w:rsidRDefault="00815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B409" w14:textId="77777777" w:rsidR="008151DD" w:rsidRDefault="008151DD" w:rsidP="000A7E7B">
      <w:pPr>
        <w:spacing w:after="0" w:line="240" w:lineRule="auto"/>
      </w:pPr>
      <w:r>
        <w:separator/>
      </w:r>
    </w:p>
    <w:p w14:paraId="5B78AF4F" w14:textId="77777777" w:rsidR="008151DD" w:rsidRDefault="008151DD"/>
  </w:footnote>
  <w:footnote w:type="continuationSeparator" w:id="0">
    <w:p w14:paraId="1BCE788C" w14:textId="77777777" w:rsidR="008151DD" w:rsidRDefault="008151DD" w:rsidP="000A7E7B">
      <w:pPr>
        <w:spacing w:after="0" w:line="240" w:lineRule="auto"/>
      </w:pPr>
      <w:r>
        <w:continuationSeparator/>
      </w:r>
    </w:p>
    <w:p w14:paraId="5AF340A4" w14:textId="77777777" w:rsidR="008151DD" w:rsidRDefault="00815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D549271" w:rsidR="0048582B" w:rsidRPr="00046D48" w:rsidRDefault="0048582B" w:rsidP="00854232">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D645FE">
      <w:rPr>
        <w:rFonts w:ascii="Arial Nova" w:hAnsi="Arial Nova" w:cs="Times New Roman"/>
        <w:b/>
        <w:bCs/>
        <w:color w:val="002060"/>
        <w:sz w:val="20"/>
        <w:szCs w:val="20"/>
      </w:rPr>
      <w:t xml:space="preserve"> </w:t>
    </w:r>
    <w:r w:rsidR="000B3C18">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A54C77">
      <w:rPr>
        <w:rFonts w:ascii="Arial Nova" w:hAnsi="Arial Nova" w:cs="Times New Roman"/>
        <w:b/>
        <w:bCs/>
        <w:color w:val="002060"/>
        <w:sz w:val="20"/>
        <w:szCs w:val="20"/>
      </w:rPr>
      <w:t>5272</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54C77">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881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5394C"/>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49B9"/>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1852"/>
    <w:rsid w:val="00142798"/>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E084E"/>
    <w:rsid w:val="001E25BF"/>
    <w:rsid w:val="001E577C"/>
    <w:rsid w:val="001E64C1"/>
    <w:rsid w:val="001E75D9"/>
    <w:rsid w:val="001F0D25"/>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D6B6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2843"/>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5F7077"/>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4E97"/>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151DD"/>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4232"/>
    <w:rsid w:val="008569CF"/>
    <w:rsid w:val="008571D1"/>
    <w:rsid w:val="008605FA"/>
    <w:rsid w:val="0086190B"/>
    <w:rsid w:val="008624B5"/>
    <w:rsid w:val="00862BA9"/>
    <w:rsid w:val="00865D46"/>
    <w:rsid w:val="00871A80"/>
    <w:rsid w:val="00872F38"/>
    <w:rsid w:val="0087404F"/>
    <w:rsid w:val="00876FA1"/>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08A"/>
    <w:rsid w:val="008C79D6"/>
    <w:rsid w:val="008E2BAC"/>
    <w:rsid w:val="008E342F"/>
    <w:rsid w:val="008F5913"/>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97166"/>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3575"/>
    <w:rsid w:val="00A64273"/>
    <w:rsid w:val="00A71F20"/>
    <w:rsid w:val="00A762AD"/>
    <w:rsid w:val="00A85ADA"/>
    <w:rsid w:val="00A91D26"/>
    <w:rsid w:val="00A92D4B"/>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47BAF"/>
    <w:rsid w:val="00D53B10"/>
    <w:rsid w:val="00D54F58"/>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C5A0C"/>
    <w:rsid w:val="00DD004E"/>
    <w:rsid w:val="00DD0966"/>
    <w:rsid w:val="00DE10B5"/>
    <w:rsid w:val="00DE375C"/>
    <w:rsid w:val="00DE602D"/>
    <w:rsid w:val="00DE73C5"/>
    <w:rsid w:val="00DF4D69"/>
    <w:rsid w:val="00DF65FC"/>
    <w:rsid w:val="00DF7C53"/>
    <w:rsid w:val="00E00285"/>
    <w:rsid w:val="00E00A82"/>
    <w:rsid w:val="00E170FF"/>
    <w:rsid w:val="00E17A2C"/>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2DA"/>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A5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9561</Characters>
  <Application>Microsoft Office Word</Application>
  <DocSecurity>0</DocSecurity>
  <Lines>9561</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2024-12-06T19:22:00Z</dcterms:created>
  <dcterms:modified xsi:type="dcterms:W3CDTF">2024-12-06T19:22:00Z</dcterms:modified>
</cp:coreProperties>
</file>