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58F6C505" w:rsidR="001C01EC" w:rsidRDefault="00E25408"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 xml:space="preserve">VELO CORPORATIVO. </w:t>
      </w:r>
      <w:r w:rsidR="007E2C1C">
        <w:rPr>
          <w:rFonts w:ascii="Arial Nova" w:hAnsi="Arial Nova" w:cs="Times New Roman"/>
          <w:b/>
          <w:bCs/>
          <w:smallCaps/>
          <w:color w:val="002060"/>
        </w:rPr>
        <w:t>E</w:t>
      </w:r>
      <w:r w:rsidR="00D3343A">
        <w:rPr>
          <w:rFonts w:ascii="Arial Nova" w:hAnsi="Arial Nova" w:cs="Times New Roman"/>
          <w:b/>
          <w:bCs/>
          <w:smallCaps/>
          <w:color w:val="002060"/>
        </w:rPr>
        <w:t>N MATERIA MERCANTIL, ES PROCEDENTE LEVANTAR</w:t>
      </w:r>
      <w:r>
        <w:rPr>
          <w:rFonts w:ascii="Arial Nova" w:hAnsi="Arial Nova" w:cs="Times New Roman"/>
          <w:b/>
          <w:bCs/>
          <w:smallCaps/>
          <w:color w:val="002060"/>
        </w:rPr>
        <w:t>LO</w:t>
      </w:r>
      <w:r w:rsidR="00D3343A">
        <w:rPr>
          <w:rFonts w:ascii="Arial Nova" w:hAnsi="Arial Nova" w:cs="Times New Roman"/>
          <w:b/>
          <w:bCs/>
          <w:smallCaps/>
          <w:color w:val="002060"/>
        </w:rPr>
        <w:t xml:space="preserve"> CUANDO ÉSTE SE UTILICE CON EL PROPÓSITO DE DEFRAUDAR A TERCEROS</w:t>
      </w:r>
      <w:r w:rsidR="00482ED2">
        <w:rPr>
          <w:rFonts w:ascii="Arial Nova" w:hAnsi="Arial Nova" w:cs="Times New Roman"/>
          <w:b/>
          <w:bCs/>
          <w:smallCaps/>
          <w:color w:val="002060"/>
        </w:rPr>
        <w:t xml:space="preserve"> </w:t>
      </w: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0416AE9C" w:rsidR="00832148" w:rsidRPr="00BC36F9" w:rsidRDefault="000018A2" w:rsidP="00D3343A">
      <w:pPr>
        <w:shd w:val="clear" w:color="auto" w:fill="EDEDED" w:themeFill="accent3" w:themeFillTint="33"/>
        <w:spacing w:after="0" w:line="240" w:lineRule="auto"/>
        <w:ind w:left="2268"/>
        <w:jc w:val="right"/>
        <w:rPr>
          <w:rFonts w:ascii="Arial Nova" w:hAnsi="Arial Nova" w:cs="Times New Roman"/>
          <w:smallCaps/>
          <w:color w:val="002060"/>
          <w:lang w:val="it-IT"/>
        </w:rPr>
      </w:pPr>
      <w:bookmarkStart w:id="0" w:name="_Hlk133506760"/>
      <w:bookmarkStart w:id="1" w:name="_Hlk133506787"/>
      <w:r w:rsidRPr="00BC36F9">
        <w:rPr>
          <w:rFonts w:ascii="Arial Nova" w:hAnsi="Arial Nova" w:cs="Times New Roman"/>
          <w:b/>
          <w:bCs/>
          <w:smallCaps/>
          <w:color w:val="002060"/>
          <w:lang w:val="it-IT"/>
        </w:rPr>
        <w:t xml:space="preserve">Ponente: </w:t>
      </w:r>
      <w:r w:rsidR="00DD0966" w:rsidRPr="00BC36F9">
        <w:rPr>
          <w:rFonts w:ascii="Arial Nova" w:hAnsi="Arial Nova" w:cs="Times New Roman"/>
          <w:b/>
          <w:bCs/>
          <w:smallCaps/>
          <w:color w:val="002060"/>
          <w:lang w:val="it-IT"/>
        </w:rPr>
        <w:t>Minis</w:t>
      </w:r>
      <w:r w:rsidR="00EA7ECA" w:rsidRPr="00BC36F9">
        <w:rPr>
          <w:rFonts w:ascii="Arial Nova" w:hAnsi="Arial Nova" w:cs="Times New Roman"/>
          <w:b/>
          <w:bCs/>
          <w:smallCaps/>
          <w:color w:val="002060"/>
          <w:lang w:val="it-IT"/>
        </w:rPr>
        <w:t>tr</w:t>
      </w:r>
      <w:r w:rsidR="00D3343A" w:rsidRPr="00BC36F9">
        <w:rPr>
          <w:rFonts w:ascii="Arial Nova" w:hAnsi="Arial Nova" w:cs="Times New Roman"/>
          <w:b/>
          <w:bCs/>
          <w:smallCaps/>
          <w:color w:val="002060"/>
          <w:lang w:val="it-IT"/>
        </w:rPr>
        <w:t>a Loretta Ortiz Ahlf.</w:t>
      </w:r>
    </w:p>
    <w:p w14:paraId="3F0D13D1" w14:textId="592DF467" w:rsidR="00F52725" w:rsidRDefault="000018A2" w:rsidP="00D3343A">
      <w:pPr>
        <w:shd w:val="clear" w:color="auto" w:fill="EDEDED" w:themeFill="accent3" w:themeFillTint="33"/>
        <w:spacing w:after="0" w:line="240" w:lineRule="auto"/>
        <w:ind w:left="2268"/>
        <w:jc w:val="right"/>
        <w:rPr>
          <w:rFonts w:ascii="Arial Nova" w:hAnsi="Arial Nova" w:cs="Times New Roman"/>
          <w:smallCaps/>
          <w:color w:val="002060"/>
        </w:rPr>
      </w:pPr>
      <w:bookmarkStart w:id="2" w:name="_Hlk133506801"/>
      <w:bookmarkEnd w:id="1"/>
      <w:r w:rsidRPr="001624A8">
        <w:rPr>
          <w:rFonts w:ascii="Arial Nova" w:hAnsi="Arial Nova" w:cs="Times New Roman"/>
          <w:smallCaps/>
          <w:color w:val="002060"/>
        </w:rPr>
        <w:t>Secretari</w:t>
      </w:r>
      <w:r w:rsidR="00482ED2">
        <w:rPr>
          <w:rFonts w:ascii="Arial Nova" w:hAnsi="Arial Nova" w:cs="Times New Roman"/>
          <w:smallCaps/>
          <w:color w:val="002060"/>
        </w:rPr>
        <w:t>o</w:t>
      </w:r>
      <w:r w:rsidR="00803455">
        <w:rPr>
          <w:rFonts w:ascii="Arial Nova" w:hAnsi="Arial Nova" w:cs="Times New Roman"/>
          <w:smallCaps/>
          <w:color w:val="002060"/>
        </w:rPr>
        <w:t>:</w:t>
      </w:r>
      <w:bookmarkEnd w:id="2"/>
      <w:r w:rsidR="00F52725">
        <w:rPr>
          <w:rFonts w:ascii="Arial Nova" w:hAnsi="Arial Nova" w:cs="Times New Roman"/>
          <w:smallCaps/>
          <w:color w:val="002060"/>
        </w:rPr>
        <w:t xml:space="preserve"> </w:t>
      </w:r>
      <w:r w:rsidR="00D3343A">
        <w:rPr>
          <w:rFonts w:ascii="Arial Nova" w:hAnsi="Arial Nova" w:cs="Times New Roman"/>
          <w:smallCaps/>
          <w:color w:val="002060"/>
        </w:rPr>
        <w:t>Carlos Adrián López Sánchez</w:t>
      </w:r>
      <w:r w:rsidR="00F52725">
        <w:rPr>
          <w:rFonts w:ascii="Arial Nova" w:hAnsi="Arial Nova" w:cs="Times New Roman"/>
          <w:smallCaps/>
          <w:color w:val="002060"/>
        </w:rPr>
        <w:t>.</w:t>
      </w:r>
    </w:p>
    <w:p w14:paraId="55F42399" w14:textId="1C03ADDF" w:rsidR="007E5FAA" w:rsidRDefault="007E2C1C" w:rsidP="00D3343A">
      <w:pPr>
        <w:shd w:val="clear" w:color="auto" w:fill="EDEDED" w:themeFill="accent3" w:themeFillTint="33"/>
        <w:spacing w:after="0" w:line="240" w:lineRule="auto"/>
        <w:ind w:left="2268"/>
        <w:jc w:val="right"/>
        <w:rPr>
          <w:rFonts w:ascii="Arial Nova" w:hAnsi="Arial Nova" w:cs="Times New Roman"/>
          <w:smallCaps/>
          <w:color w:val="002060"/>
        </w:rPr>
      </w:pPr>
      <w:r>
        <w:rPr>
          <w:rFonts w:ascii="Arial Nova" w:hAnsi="Arial Nova" w:cs="Times New Roman"/>
          <w:smallCaps/>
          <w:color w:val="002060"/>
        </w:rPr>
        <w:t>Colabor</w:t>
      </w:r>
      <w:r w:rsidR="007E5FAA">
        <w:rPr>
          <w:rFonts w:ascii="Arial Nova" w:hAnsi="Arial Nova" w:cs="Times New Roman"/>
          <w:smallCaps/>
          <w:color w:val="002060"/>
        </w:rPr>
        <w:t>aron</w:t>
      </w:r>
      <w:r>
        <w:rPr>
          <w:rFonts w:ascii="Arial Nova" w:hAnsi="Arial Nova" w:cs="Times New Roman"/>
          <w:smallCaps/>
          <w:color w:val="002060"/>
        </w:rPr>
        <w:t>:</w:t>
      </w:r>
      <w:r w:rsidR="00D3343A">
        <w:rPr>
          <w:rFonts w:ascii="Arial Nova" w:hAnsi="Arial Nova" w:cs="Times New Roman"/>
          <w:smallCaps/>
          <w:color w:val="002060"/>
        </w:rPr>
        <w:t xml:space="preserve"> Alicia Martínez González y </w:t>
      </w:r>
    </w:p>
    <w:p w14:paraId="2A0B6B1A" w14:textId="322BD0C0" w:rsidR="007E2C1C" w:rsidRDefault="00D3343A" w:rsidP="00D3343A">
      <w:pPr>
        <w:shd w:val="clear" w:color="auto" w:fill="EDEDED" w:themeFill="accent3" w:themeFillTint="33"/>
        <w:spacing w:after="0" w:line="240" w:lineRule="auto"/>
        <w:ind w:left="2268"/>
        <w:jc w:val="right"/>
        <w:rPr>
          <w:rFonts w:ascii="Arial Nova" w:hAnsi="Arial Nova" w:cs="Times New Roman"/>
          <w:smallCaps/>
          <w:color w:val="002060"/>
        </w:rPr>
      </w:pPr>
      <w:r>
        <w:rPr>
          <w:rFonts w:ascii="Arial Nova" w:hAnsi="Arial Nova" w:cs="Times New Roman"/>
          <w:smallCaps/>
          <w:color w:val="002060"/>
        </w:rPr>
        <w:t>Diego Galindo Cervantes</w:t>
      </w:r>
      <w:r w:rsidR="007E2C1C">
        <w:rPr>
          <w:rFonts w:ascii="Arial Nova" w:hAnsi="Arial Nova" w:cs="Times New Roman"/>
          <w:smallCaps/>
          <w:color w:val="002060"/>
        </w:rPr>
        <w:t>.</w:t>
      </w:r>
    </w:p>
    <w:p w14:paraId="1C0B4F90" w14:textId="78ECEC2E" w:rsidR="001C01EC" w:rsidRPr="004C2D17" w:rsidRDefault="001C01EC" w:rsidP="00D3343A">
      <w:pPr>
        <w:shd w:val="clear" w:color="auto" w:fill="EDEDED" w:themeFill="accent3" w:themeFillTint="33"/>
        <w:spacing w:after="0" w:line="240" w:lineRule="auto"/>
        <w:ind w:left="2268"/>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C45959">
        <w:rPr>
          <w:rFonts w:ascii="Arial Nova" w:hAnsi="Arial Nova" w:cs="Times New Roman"/>
          <w:smallCaps/>
          <w:color w:val="002060"/>
        </w:rPr>
        <w:t xml:space="preserve"> en Revisión </w:t>
      </w:r>
      <w:r w:rsidR="00D3343A">
        <w:rPr>
          <w:rFonts w:ascii="Arial Nova" w:hAnsi="Arial Nova" w:cs="Times New Roman"/>
          <w:smallCaps/>
          <w:color w:val="002060"/>
        </w:rPr>
        <w:t>266</w:t>
      </w:r>
      <w:r w:rsidR="00C45959">
        <w:rPr>
          <w:rFonts w:ascii="Arial Nova" w:hAnsi="Arial Nova" w:cs="Times New Roman"/>
          <w:smallCaps/>
          <w:color w:val="002060"/>
        </w:rPr>
        <w:t>/202</w:t>
      </w:r>
      <w:r w:rsidR="00D3343A">
        <w:rPr>
          <w:rFonts w:ascii="Arial Nova" w:hAnsi="Arial Nova" w:cs="Times New Roman"/>
          <w:smallCaps/>
          <w:color w:val="002060"/>
        </w:rPr>
        <w:t>3</w:t>
      </w:r>
      <w:r w:rsidRPr="004C2D17">
        <w:rPr>
          <w:rFonts w:ascii="Arial Nova" w:hAnsi="Arial Nova" w:cs="Times New Roman"/>
          <w:smallCaps/>
        </w:rPr>
        <w:t>.</w:t>
      </w:r>
      <w:bookmarkEnd w:id="0"/>
      <w:bookmarkEnd w:id="3"/>
    </w:p>
    <w:p w14:paraId="3BF438E5" w14:textId="404A8B03" w:rsidR="001D024D" w:rsidRPr="001C01EC" w:rsidRDefault="001D024D" w:rsidP="005D4396">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8BFA422" w:rsidR="00772C59" w:rsidRPr="005D4396" w:rsidRDefault="00772C59" w:rsidP="00772C59">
            <w:pPr>
              <w:tabs>
                <w:tab w:val="left" w:pos="0"/>
              </w:tabs>
              <w:contextualSpacing/>
              <w:jc w:val="both"/>
              <w:rPr>
                <w:rFonts w:ascii="Arial Nova" w:hAnsi="Arial Nova" w:cs="Times New Roman"/>
                <w:sz w:val="21"/>
                <w:szCs w:val="21"/>
              </w:rPr>
            </w:pPr>
          </w:p>
          <w:p w14:paraId="3CB01798" w14:textId="0D8F28D8" w:rsidR="00164C31" w:rsidRPr="005D4396" w:rsidRDefault="00E25408" w:rsidP="00164C31">
            <w:pPr>
              <w:jc w:val="both"/>
              <w:rPr>
                <w:rFonts w:ascii="Arial Nova" w:eastAsia="Times New Roman" w:hAnsi="Arial Nova" w:cs="Times New Roman"/>
                <w:sz w:val="21"/>
                <w:szCs w:val="21"/>
                <w:lang w:val="es-ES_tradnl" w:eastAsia="es-ES"/>
              </w:rPr>
            </w:pPr>
            <w:r w:rsidRPr="005D4396">
              <w:rPr>
                <w:rFonts w:ascii="Arial Nova" w:eastAsia="Times New Roman" w:hAnsi="Arial Nova" w:cs="Times New Roman"/>
                <w:sz w:val="21"/>
                <w:szCs w:val="21"/>
                <w:lang w:val="es-ES_tradnl" w:eastAsia="es-ES"/>
              </w:rPr>
              <w:t>U</w:t>
            </w:r>
            <w:r w:rsidR="00164C31" w:rsidRPr="005D4396">
              <w:rPr>
                <w:rFonts w:ascii="Arial Nova" w:eastAsia="Times New Roman" w:hAnsi="Arial Nova" w:cs="Times New Roman"/>
                <w:sz w:val="21"/>
                <w:szCs w:val="21"/>
                <w:lang w:val="es-ES_tradnl" w:eastAsia="es-ES"/>
              </w:rPr>
              <w:t xml:space="preserve">na persona moral </w:t>
            </w:r>
            <w:r w:rsidRPr="005D4396">
              <w:rPr>
                <w:rFonts w:ascii="Arial Nova" w:eastAsia="Times New Roman" w:hAnsi="Arial Nova" w:cs="Times New Roman"/>
                <w:sz w:val="21"/>
                <w:szCs w:val="21"/>
                <w:lang w:val="es-ES_tradnl" w:eastAsia="es-ES"/>
              </w:rPr>
              <w:t xml:space="preserve">promovió juicio de amparo indirecto </w:t>
            </w:r>
            <w:r w:rsidR="00164C31" w:rsidRPr="005D4396">
              <w:rPr>
                <w:rFonts w:ascii="Arial Nova" w:eastAsia="Times New Roman" w:hAnsi="Arial Nova" w:cs="Times New Roman"/>
                <w:sz w:val="21"/>
                <w:szCs w:val="21"/>
                <w:lang w:val="es-ES_tradnl" w:eastAsia="es-ES"/>
              </w:rPr>
              <w:t xml:space="preserve">en contra de la orden dictada por una jueza local en </w:t>
            </w:r>
            <w:r w:rsidR="00BF698C">
              <w:rPr>
                <w:rFonts w:ascii="Arial Nova" w:eastAsia="Times New Roman" w:hAnsi="Arial Nova" w:cs="Times New Roman"/>
                <w:sz w:val="21"/>
                <w:szCs w:val="21"/>
                <w:lang w:val="es-ES_tradnl" w:eastAsia="es-ES"/>
              </w:rPr>
              <w:t xml:space="preserve">el trámite de unas </w:t>
            </w:r>
            <w:r w:rsidR="00164C31" w:rsidRPr="005D4396">
              <w:rPr>
                <w:rFonts w:ascii="Arial Nova" w:eastAsia="Times New Roman" w:hAnsi="Arial Nova" w:cs="Times New Roman"/>
                <w:sz w:val="21"/>
                <w:szCs w:val="21"/>
                <w:lang w:val="es-ES_tradnl" w:eastAsia="es-ES"/>
              </w:rPr>
              <w:t xml:space="preserve">providencias precautorias prejudiciales </w:t>
            </w:r>
            <w:r w:rsidR="00BF698C">
              <w:rPr>
                <w:rFonts w:ascii="Arial Nova" w:eastAsia="Times New Roman" w:hAnsi="Arial Nova" w:cs="Times New Roman"/>
                <w:sz w:val="21"/>
                <w:szCs w:val="21"/>
                <w:lang w:val="es-ES_tradnl" w:eastAsia="es-ES"/>
              </w:rPr>
              <w:t xml:space="preserve">solicitadas </w:t>
            </w:r>
            <w:r w:rsidR="00164C31" w:rsidRPr="005D4396">
              <w:rPr>
                <w:rFonts w:ascii="Arial Nova" w:eastAsia="Times New Roman" w:hAnsi="Arial Nova" w:cs="Times New Roman"/>
                <w:sz w:val="21"/>
                <w:szCs w:val="21"/>
                <w:lang w:val="es-ES_tradnl" w:eastAsia="es-ES"/>
              </w:rPr>
              <w:t>para congelar sus cuentas bancarias y suspender los pagos pendientes que tuvieren a su favor. Lo anterior, en atención a la petición de una institución financiera para que se levantara el velo corporativo de otra empresa con la que celebró operaciones de crédito y se pudieran hacer extensivas las providencias a los socios de ésta, entre ellos, la solicitante de amparo.</w:t>
            </w:r>
          </w:p>
          <w:p w14:paraId="4A85E4D4" w14:textId="77777777" w:rsidR="00164C31" w:rsidRPr="005D4396" w:rsidRDefault="00164C31" w:rsidP="00164C31">
            <w:pPr>
              <w:ind w:left="19"/>
              <w:jc w:val="both"/>
              <w:rPr>
                <w:rFonts w:ascii="Arial Nova" w:eastAsia="Times New Roman" w:hAnsi="Arial Nova" w:cs="Times New Roman"/>
                <w:sz w:val="21"/>
                <w:szCs w:val="21"/>
                <w:lang w:val="es-ES_tradnl" w:eastAsia="es-ES"/>
              </w:rPr>
            </w:pPr>
          </w:p>
          <w:p w14:paraId="0DA88537" w14:textId="77777777" w:rsidR="00164C31" w:rsidRPr="005D4396" w:rsidRDefault="00164C31" w:rsidP="00164C31">
            <w:pPr>
              <w:ind w:left="19"/>
              <w:jc w:val="both"/>
              <w:rPr>
                <w:rFonts w:ascii="Arial Nova" w:eastAsia="Times New Roman" w:hAnsi="Arial Nova" w:cs="Times New Roman"/>
                <w:sz w:val="21"/>
                <w:szCs w:val="21"/>
                <w:lang w:val="es-ES_tradnl" w:eastAsia="es-ES"/>
              </w:rPr>
            </w:pPr>
            <w:r w:rsidRPr="005D4396">
              <w:rPr>
                <w:rFonts w:ascii="Arial Nova" w:eastAsia="Times New Roman" w:hAnsi="Arial Nova" w:cs="Times New Roman"/>
                <w:sz w:val="21"/>
                <w:szCs w:val="21"/>
                <w:lang w:val="es-ES_tradnl" w:eastAsia="es-ES"/>
              </w:rPr>
              <w:t>El Juzgado de Distrito sobreseyó en una parte el juicio y negó la protección constitucional por otra. Inconforme con esa determinación, la empresa quejosa interpuso recurso de revisión, mismo que fue atraído por la Suprema Corte para su resolución.</w:t>
            </w:r>
          </w:p>
          <w:p w14:paraId="545ADE5E" w14:textId="77777777" w:rsidR="00164C31" w:rsidRPr="005D4396" w:rsidRDefault="00164C31" w:rsidP="00164C31">
            <w:pPr>
              <w:ind w:left="19"/>
              <w:jc w:val="both"/>
              <w:rPr>
                <w:rFonts w:ascii="Arial Nova" w:eastAsia="Times New Roman" w:hAnsi="Arial Nova" w:cs="Times New Roman"/>
                <w:sz w:val="21"/>
                <w:szCs w:val="21"/>
                <w:lang w:val="es-ES_tradnl" w:eastAsia="es-ES"/>
              </w:rPr>
            </w:pPr>
          </w:p>
          <w:p w14:paraId="3D119982" w14:textId="6C79AA49" w:rsidR="00164C31" w:rsidRPr="005D4396" w:rsidRDefault="00164C31" w:rsidP="00164C31">
            <w:pPr>
              <w:ind w:left="19"/>
              <w:jc w:val="both"/>
              <w:rPr>
                <w:rFonts w:ascii="Arial Nova" w:eastAsia="Times New Roman" w:hAnsi="Arial Nova" w:cs="Times New Roman"/>
                <w:sz w:val="21"/>
                <w:szCs w:val="21"/>
                <w:lang w:val="es-ES_tradnl" w:eastAsia="es-ES"/>
              </w:rPr>
            </w:pPr>
            <w:r w:rsidRPr="005D4396">
              <w:rPr>
                <w:rFonts w:ascii="Arial Nova" w:eastAsia="Times New Roman" w:hAnsi="Arial Nova" w:cs="Times New Roman"/>
                <w:sz w:val="21"/>
                <w:szCs w:val="21"/>
                <w:lang w:val="es-ES_tradnl" w:eastAsia="es-ES"/>
              </w:rPr>
              <w:t xml:space="preserve">En su fallo, </w:t>
            </w:r>
            <w:r w:rsidR="00E25408" w:rsidRPr="005D4396">
              <w:rPr>
                <w:rFonts w:ascii="Arial Nova" w:eastAsia="Times New Roman" w:hAnsi="Arial Nova" w:cs="Times New Roman"/>
                <w:sz w:val="21"/>
                <w:szCs w:val="21"/>
                <w:lang w:val="es-ES_tradnl" w:eastAsia="es-ES"/>
              </w:rPr>
              <w:t>la Primera Sala resolvió que, si bien negar la garantía de la separación patrimonial entre socios y sociedad es desconocer la naturaleza jurídica autónoma de una persona moral, e impacta en la economía, al derecho y al Estado de la principal herramienta para fortalecer el crecimiento y el desarrollo como pilares fundamentales de la constitución económica, es factible, de manera excepcional y a partir del principio de buena fe, la doctrina del ejercicio abusivo de un derecho y el fraude a la ley, levantar de manera excepcional dicho velo corporativo</w:t>
            </w:r>
            <w:r w:rsidRPr="005D4396">
              <w:rPr>
                <w:rFonts w:ascii="Arial Nova" w:eastAsia="Times New Roman" w:hAnsi="Arial Nova" w:cs="Times New Roman"/>
                <w:sz w:val="21"/>
                <w:szCs w:val="21"/>
                <w:lang w:val="es-ES_tradnl" w:eastAsia="es-ES"/>
              </w:rPr>
              <w:t>.</w:t>
            </w:r>
          </w:p>
          <w:p w14:paraId="06B5E0B7" w14:textId="77777777" w:rsidR="00E25408" w:rsidRPr="005D4396" w:rsidRDefault="00E25408" w:rsidP="00164C31">
            <w:pPr>
              <w:ind w:left="19"/>
              <w:jc w:val="both"/>
              <w:rPr>
                <w:rFonts w:ascii="Arial Nova" w:eastAsia="Times New Roman" w:hAnsi="Arial Nova" w:cs="Times New Roman"/>
                <w:sz w:val="21"/>
                <w:szCs w:val="21"/>
                <w:lang w:val="es-ES_tradnl" w:eastAsia="es-ES"/>
              </w:rPr>
            </w:pPr>
          </w:p>
          <w:p w14:paraId="168775D0" w14:textId="6C2AD30D" w:rsidR="00E25408" w:rsidRPr="005D4396" w:rsidRDefault="00E25408" w:rsidP="00E25408">
            <w:pPr>
              <w:ind w:left="19"/>
              <w:jc w:val="both"/>
              <w:rPr>
                <w:rFonts w:ascii="Arial Nova" w:eastAsia="Times New Roman" w:hAnsi="Arial Nova" w:cs="Times New Roman"/>
                <w:sz w:val="21"/>
                <w:szCs w:val="21"/>
                <w:lang w:val="es-ES_tradnl" w:eastAsia="es-ES"/>
              </w:rPr>
            </w:pPr>
            <w:r w:rsidRPr="005D4396">
              <w:rPr>
                <w:rFonts w:ascii="Arial Nova" w:eastAsia="Times New Roman" w:hAnsi="Arial Nova" w:cs="Times New Roman"/>
                <w:sz w:val="21"/>
                <w:szCs w:val="21"/>
                <w:lang w:val="es-ES_tradnl" w:eastAsia="es-ES"/>
              </w:rPr>
              <w:t>Para ello, la Sala determinó que es necesario que la decisión respectiva no se apoye únicamente en elementos objetivos, sino también en elementos subjetivos tendentes a evidenciar que la sociedad mercantil únicamente se constituyó con el propósito de defraudar a terceros o bien, que en una relación jurídica específica se utiliza el velo corporativo como fachada para incumplir el principio de buena fe, simular algún acto o actuar en fraude de tercero, entre otros.</w:t>
            </w:r>
          </w:p>
          <w:p w14:paraId="57159EBA" w14:textId="77777777" w:rsidR="00E25408" w:rsidRPr="005D4396" w:rsidRDefault="00E25408" w:rsidP="00E25408">
            <w:pPr>
              <w:ind w:left="19"/>
              <w:jc w:val="both"/>
              <w:rPr>
                <w:rFonts w:ascii="Arial Nova" w:eastAsia="Times New Roman" w:hAnsi="Arial Nova" w:cs="Times New Roman"/>
                <w:sz w:val="21"/>
                <w:szCs w:val="21"/>
                <w:lang w:val="es-ES_tradnl" w:eastAsia="es-ES"/>
              </w:rPr>
            </w:pPr>
          </w:p>
          <w:p w14:paraId="25985371" w14:textId="541744EC" w:rsidR="00E25408" w:rsidRPr="005D4396" w:rsidRDefault="00E25408" w:rsidP="00E25408">
            <w:pPr>
              <w:ind w:left="19"/>
              <w:jc w:val="both"/>
              <w:rPr>
                <w:rFonts w:ascii="Arial Nova" w:eastAsia="Times New Roman" w:hAnsi="Arial Nova" w:cs="Times New Roman"/>
                <w:sz w:val="21"/>
                <w:szCs w:val="21"/>
                <w:lang w:val="es-ES_tradnl" w:eastAsia="es-ES"/>
              </w:rPr>
            </w:pPr>
            <w:r w:rsidRPr="005D4396">
              <w:rPr>
                <w:rFonts w:ascii="Arial Nova" w:eastAsia="Times New Roman" w:hAnsi="Arial Nova" w:cs="Times New Roman"/>
                <w:sz w:val="21"/>
                <w:szCs w:val="21"/>
                <w:lang w:val="es-ES_tradnl" w:eastAsia="es-ES"/>
              </w:rPr>
              <w:t>Finalmente, la Sala determinó que, por regla general, el levantamiento del velo corporativo no será aplicable cuando se trate de la solicitud de providencias precautorias, debido a su naturaleza prejudicial.</w:t>
            </w:r>
          </w:p>
          <w:p w14:paraId="5EC8B1D3" w14:textId="77777777" w:rsidR="00164C31" w:rsidRPr="00401B1F" w:rsidRDefault="00164C31" w:rsidP="00164C31">
            <w:pPr>
              <w:jc w:val="both"/>
              <w:rPr>
                <w:rFonts w:ascii="Arial Nova" w:eastAsia="Times New Roman" w:hAnsi="Arial Nova" w:cs="Times New Roman"/>
                <w:lang w:val="es-ES_tradnl" w:eastAsia="es-ES"/>
              </w:rPr>
            </w:pPr>
          </w:p>
          <w:p w14:paraId="068A96B6" w14:textId="6FB94819" w:rsidR="00BD79B9" w:rsidRPr="00650F1C" w:rsidRDefault="00BD79B9" w:rsidP="00D3343A">
            <w:pPr>
              <w:ind w:right="49"/>
              <w:jc w:val="both"/>
              <w:rPr>
                <w:rFonts w:ascii="Times New Roman" w:hAnsi="Times New Roman"/>
                <w:sz w:val="20"/>
              </w:rPr>
            </w:pPr>
          </w:p>
        </w:tc>
      </w:tr>
    </w:tbl>
    <w:p w14:paraId="56A16961" w14:textId="452F3E20" w:rsidR="0062067E" w:rsidRDefault="0062067E" w:rsidP="0062067E">
      <w:pPr>
        <w:pStyle w:val="corte4fondo"/>
        <w:spacing w:line="240" w:lineRule="auto"/>
        <w:ind w:firstLine="0"/>
        <w:rPr>
          <w:rFonts w:ascii="Arial Nova" w:eastAsiaTheme="minorHAnsi" w:hAnsi="Arial Nova"/>
          <w:sz w:val="24"/>
          <w:szCs w:val="24"/>
          <w:lang w:val="es-MX" w:eastAsia="en-US"/>
        </w:rPr>
      </w:pPr>
    </w:p>
    <w:p w14:paraId="5229CF40" w14:textId="2900A657" w:rsidR="00401B1F" w:rsidRDefault="00401B1F" w:rsidP="0062067E">
      <w:pPr>
        <w:pStyle w:val="corte4fondo"/>
        <w:spacing w:line="240" w:lineRule="auto"/>
        <w:ind w:firstLine="0"/>
        <w:rPr>
          <w:rFonts w:ascii="Arial Nova" w:eastAsiaTheme="minorHAnsi" w:hAnsi="Arial Nova"/>
          <w:sz w:val="24"/>
          <w:szCs w:val="24"/>
          <w:lang w:val="es-MX" w:eastAsia="en-US"/>
        </w:rPr>
      </w:pPr>
    </w:p>
    <w:p w14:paraId="647D5FBE" w14:textId="77777777" w:rsidR="00381B8F" w:rsidRPr="00642B2A" w:rsidRDefault="00381B8F" w:rsidP="00381B8F">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3D544239" w14:textId="77777777" w:rsidR="00381B8F" w:rsidRDefault="00381B8F" w:rsidP="0062067E">
      <w:pPr>
        <w:pStyle w:val="corte4fondo"/>
        <w:spacing w:line="240" w:lineRule="auto"/>
        <w:ind w:firstLine="0"/>
        <w:rPr>
          <w:rFonts w:ascii="Arial Nova" w:eastAsiaTheme="minorHAnsi" w:hAnsi="Arial Nova"/>
          <w:sz w:val="24"/>
          <w:szCs w:val="24"/>
          <w:lang w:val="es-MX" w:eastAsia="en-US"/>
        </w:rPr>
      </w:pPr>
    </w:p>
    <w:p w14:paraId="073BC55C" w14:textId="534FA2B7" w:rsidR="00164C31" w:rsidRDefault="00D574B7" w:rsidP="00164C31">
      <w:pPr>
        <w:spacing w:after="0" w:line="240" w:lineRule="auto"/>
        <w:jc w:val="both"/>
        <w:rPr>
          <w:rFonts w:ascii="Arial Nova" w:hAnsi="Arial Nova" w:cs="Times New Roman"/>
          <w:sz w:val="24"/>
          <w:szCs w:val="24"/>
        </w:rPr>
      </w:pPr>
      <w:r w:rsidRPr="00D574B7">
        <w:rPr>
          <w:rFonts w:ascii="Arial Nova" w:hAnsi="Arial Nova" w:cs="Times New Roman"/>
          <w:sz w:val="24"/>
          <w:szCs w:val="24"/>
        </w:rPr>
        <w:t xml:space="preserve">En el caso, </w:t>
      </w:r>
      <w:r w:rsidR="00164C31">
        <w:rPr>
          <w:rFonts w:ascii="Arial Nova" w:hAnsi="Arial Nova" w:cs="Times New Roman"/>
          <w:sz w:val="24"/>
          <w:szCs w:val="24"/>
        </w:rPr>
        <w:t>u</w:t>
      </w:r>
      <w:r w:rsidR="00164C31" w:rsidRPr="00164C31">
        <w:rPr>
          <w:rFonts w:ascii="Arial Nova" w:hAnsi="Arial Nova" w:cs="Times New Roman"/>
          <w:sz w:val="24"/>
          <w:szCs w:val="24"/>
        </w:rPr>
        <w:t>na entidad financiera celebró diversas operaciones de crédito con una sociedad mercantil y una persona física</w:t>
      </w:r>
      <w:r w:rsidR="00E25408">
        <w:rPr>
          <w:rFonts w:ascii="Arial Nova" w:hAnsi="Arial Nova" w:cs="Times New Roman"/>
          <w:sz w:val="24"/>
          <w:szCs w:val="24"/>
        </w:rPr>
        <w:t>. A</w:t>
      </w:r>
      <w:r w:rsidR="00164C31" w:rsidRPr="00164C31">
        <w:rPr>
          <w:rFonts w:ascii="Arial Nova" w:hAnsi="Arial Nova" w:cs="Times New Roman"/>
          <w:sz w:val="24"/>
          <w:szCs w:val="24"/>
        </w:rPr>
        <w:t>nte el alegado incumplimiento, la institución de crédito inicio un procedimiento prejudicial para que se decretaran determinadas medidas cautelares en contra de las personas deudoras.</w:t>
      </w:r>
    </w:p>
    <w:p w14:paraId="7C3EEC5A" w14:textId="77777777" w:rsidR="00164C31" w:rsidRPr="00164C31" w:rsidRDefault="00164C31" w:rsidP="00164C31">
      <w:pPr>
        <w:spacing w:after="0" w:line="240" w:lineRule="auto"/>
        <w:jc w:val="both"/>
        <w:rPr>
          <w:rFonts w:ascii="Arial Nova" w:hAnsi="Arial Nova" w:cs="Times New Roman"/>
          <w:sz w:val="24"/>
          <w:szCs w:val="24"/>
        </w:rPr>
      </w:pPr>
    </w:p>
    <w:p w14:paraId="1B0F0F2D" w14:textId="038F9075" w:rsidR="00164C31" w:rsidRDefault="00164C31" w:rsidP="00164C31">
      <w:pPr>
        <w:spacing w:after="0" w:line="240" w:lineRule="auto"/>
        <w:jc w:val="both"/>
        <w:rPr>
          <w:rFonts w:ascii="Arial Nova" w:hAnsi="Arial Nova" w:cs="Times New Roman"/>
          <w:sz w:val="24"/>
          <w:szCs w:val="24"/>
        </w:rPr>
      </w:pPr>
      <w:r w:rsidRPr="00164C31">
        <w:rPr>
          <w:rFonts w:ascii="Arial Nova" w:hAnsi="Arial Nova" w:cs="Times New Roman"/>
          <w:sz w:val="24"/>
          <w:szCs w:val="24"/>
        </w:rPr>
        <w:t>En el procedimiento prejudicial de origen la Jueza Cuarto de lo Civil de Proceso Escrito de la Ciudad de México decretó las providencias precautorias solicitadas; ante la falta de fondos suficientes en las cuentas bancarias de los presuntos demandados y ante la aseveración de que el domicilio de la sociedad mercantil y la persona física deudoras no habitaban el domicilio que señalaron en el contrato, la acreedora y promovente de las medidas solicitó se levantara el velo corporativo.</w:t>
      </w:r>
    </w:p>
    <w:p w14:paraId="35A59DAA" w14:textId="77777777" w:rsidR="00164C31" w:rsidRPr="00164C31" w:rsidRDefault="00164C31" w:rsidP="00164C31">
      <w:pPr>
        <w:spacing w:after="0" w:line="240" w:lineRule="auto"/>
        <w:jc w:val="both"/>
        <w:rPr>
          <w:rFonts w:ascii="Arial Nova" w:hAnsi="Arial Nova" w:cs="Times New Roman"/>
          <w:sz w:val="24"/>
          <w:szCs w:val="24"/>
        </w:rPr>
      </w:pPr>
    </w:p>
    <w:p w14:paraId="2BC5E008" w14:textId="2D9E4F56" w:rsidR="00164C31" w:rsidRDefault="00164C31" w:rsidP="00164C31">
      <w:pPr>
        <w:spacing w:after="0" w:line="240" w:lineRule="auto"/>
        <w:jc w:val="both"/>
        <w:rPr>
          <w:rFonts w:ascii="Arial Nova" w:hAnsi="Arial Nova" w:cs="Times New Roman"/>
          <w:sz w:val="24"/>
          <w:szCs w:val="24"/>
        </w:rPr>
      </w:pPr>
      <w:r w:rsidRPr="00164C31">
        <w:rPr>
          <w:rFonts w:ascii="Arial Nova" w:hAnsi="Arial Nova" w:cs="Times New Roman"/>
          <w:sz w:val="24"/>
          <w:szCs w:val="24"/>
        </w:rPr>
        <w:t>La solicitud fue acordada de conformidad por la Jueza del conocimiento quien luego de levantar el velo corporativo decretó las medidas cautelares sobre diversas sociedades mercantiles, entre ellas la quejosa, distintas de las personas deudoras, las cuales consistieron en congelar sus cuentas bancarias y suspender los pagos pendientes que tuvieren a su favor.</w:t>
      </w:r>
    </w:p>
    <w:p w14:paraId="2D566225" w14:textId="77777777" w:rsidR="00164C31" w:rsidRPr="00164C31" w:rsidRDefault="00164C31" w:rsidP="00164C31">
      <w:pPr>
        <w:spacing w:after="0" w:line="240" w:lineRule="auto"/>
        <w:jc w:val="both"/>
        <w:rPr>
          <w:rFonts w:ascii="Arial Nova" w:hAnsi="Arial Nova" w:cs="Times New Roman"/>
          <w:sz w:val="24"/>
          <w:szCs w:val="24"/>
        </w:rPr>
      </w:pPr>
    </w:p>
    <w:p w14:paraId="61304C99" w14:textId="77777777" w:rsidR="00164C31" w:rsidRPr="00164C31" w:rsidRDefault="00164C31" w:rsidP="00164C31">
      <w:pPr>
        <w:spacing w:after="0" w:line="240" w:lineRule="auto"/>
        <w:jc w:val="both"/>
        <w:rPr>
          <w:rFonts w:ascii="Arial Nova" w:hAnsi="Arial Nova" w:cs="Times New Roman"/>
          <w:sz w:val="24"/>
          <w:szCs w:val="24"/>
        </w:rPr>
      </w:pPr>
      <w:r w:rsidRPr="00164C31">
        <w:rPr>
          <w:rFonts w:ascii="Arial Nova" w:hAnsi="Arial Nova" w:cs="Times New Roman"/>
          <w:sz w:val="24"/>
          <w:szCs w:val="24"/>
        </w:rPr>
        <w:t>Inconforme con esa determinación la quejosa promovió juicio de amparo indirecto. El Juzgado Sexto de Distrito en el Estado de Aguascalientes, con residencia en la ciudad del mismo nombre, admitió la demanda y sustentó su competencia conforme a los artículos 35 y 37 de la Ley de Amparo, entre otros, debido a que los actos reclamados podían tener ejecución en más de un Distrito. Seguido en sus trámites, la autoridad de amparo sobreseyó en una parte y, en otra, negó la protección constitucional solicitada en virtud de que consideró que la medida cautelar es legal.</w:t>
      </w:r>
    </w:p>
    <w:p w14:paraId="6BB55BB1" w14:textId="77777777" w:rsidR="00E25408" w:rsidRDefault="00E25408" w:rsidP="00164C31">
      <w:pPr>
        <w:spacing w:after="0" w:line="240" w:lineRule="auto"/>
        <w:jc w:val="both"/>
        <w:rPr>
          <w:rFonts w:ascii="Arial Nova" w:hAnsi="Arial Nova" w:cs="Times New Roman"/>
          <w:sz w:val="24"/>
          <w:szCs w:val="24"/>
        </w:rPr>
      </w:pPr>
    </w:p>
    <w:p w14:paraId="14F7848B" w14:textId="312232D4" w:rsidR="00164C31" w:rsidRDefault="00164C31" w:rsidP="00164C31">
      <w:pPr>
        <w:spacing w:after="0" w:line="240" w:lineRule="auto"/>
        <w:jc w:val="both"/>
        <w:rPr>
          <w:rFonts w:ascii="Arial Nova" w:hAnsi="Arial Nova" w:cs="Times New Roman"/>
          <w:sz w:val="24"/>
          <w:szCs w:val="24"/>
        </w:rPr>
      </w:pPr>
      <w:r w:rsidRPr="00164C31">
        <w:rPr>
          <w:rFonts w:ascii="Arial Nova" w:hAnsi="Arial Nova" w:cs="Times New Roman"/>
          <w:sz w:val="24"/>
          <w:szCs w:val="24"/>
        </w:rPr>
        <w:t>Contra dicha resolución la quejosa interpuso recurso de revisión</w:t>
      </w:r>
      <w:r w:rsidR="00E25408">
        <w:rPr>
          <w:rFonts w:ascii="Arial Nova" w:hAnsi="Arial Nova" w:cs="Times New Roman"/>
          <w:sz w:val="24"/>
          <w:szCs w:val="24"/>
        </w:rPr>
        <w:t>, respecto del cual esta Suprema Corte ejerció su facultad de atracción debido al tema de constitucionalidad planteado</w:t>
      </w:r>
      <w:r w:rsidRPr="00164C31">
        <w:rPr>
          <w:rFonts w:ascii="Arial Nova" w:hAnsi="Arial Nova" w:cs="Times New Roman"/>
          <w:sz w:val="24"/>
          <w:szCs w:val="24"/>
        </w:rPr>
        <w:t>.</w:t>
      </w:r>
    </w:p>
    <w:p w14:paraId="28F41EB3" w14:textId="384A8E4C" w:rsidR="00164C31" w:rsidRDefault="00164C31" w:rsidP="00164C31">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Pr>
          <w:rFonts w:ascii="Arial Nova" w:hAnsi="Arial Nova" w:cs="Times New Roman"/>
          <w:b/>
          <w:bCs/>
          <w:smallCaps/>
          <w:color w:val="000F2E"/>
          <w:sz w:val="24"/>
          <w:szCs w:val="24"/>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F465C30" w14:textId="77777777" w:rsidR="004674D6" w:rsidRPr="005D4396" w:rsidRDefault="004674D6" w:rsidP="004674D6">
      <w:pPr>
        <w:spacing w:after="0" w:line="240" w:lineRule="auto"/>
        <w:jc w:val="both"/>
        <w:rPr>
          <w:rFonts w:ascii="Arial Nova" w:hAnsi="Arial Nova" w:cs="Arial"/>
          <w:sz w:val="24"/>
          <w:szCs w:val="24"/>
        </w:rPr>
      </w:pPr>
    </w:p>
    <w:p w14:paraId="34BC1115" w14:textId="5AE4E100" w:rsidR="00164C31" w:rsidRPr="005D4396" w:rsidRDefault="00164C31" w:rsidP="00164C31">
      <w:pPr>
        <w:spacing w:after="0" w:line="240" w:lineRule="auto"/>
        <w:ind w:right="49"/>
        <w:jc w:val="both"/>
        <w:rPr>
          <w:rFonts w:ascii="Arial Nova" w:hAnsi="Arial Nova" w:cs="Arial"/>
          <w:sz w:val="24"/>
          <w:szCs w:val="24"/>
        </w:rPr>
      </w:pPr>
      <w:r w:rsidRPr="005D4396">
        <w:rPr>
          <w:rFonts w:ascii="Arial Nova" w:hAnsi="Arial Nova" w:cs="Arial"/>
          <w:sz w:val="24"/>
          <w:szCs w:val="24"/>
        </w:rPr>
        <w:t xml:space="preserve">En su fallo, el Alto Tribunal reflexionó que uno de los principios fundamentales del derecho societario es el de separación de patrimonios, conforme al cual existe </w:t>
      </w:r>
      <w:r w:rsidR="00BF698C">
        <w:rPr>
          <w:rFonts w:ascii="Arial Nova" w:hAnsi="Arial Nova" w:cs="Arial"/>
          <w:sz w:val="24"/>
          <w:szCs w:val="24"/>
        </w:rPr>
        <w:t xml:space="preserve">distinción </w:t>
      </w:r>
      <w:r w:rsidRPr="005D4396">
        <w:rPr>
          <w:rFonts w:ascii="Arial Nova" w:hAnsi="Arial Nova" w:cs="Arial"/>
          <w:sz w:val="24"/>
          <w:szCs w:val="24"/>
        </w:rPr>
        <w:t xml:space="preserve">entre el patrimonio y responsabilidad de la sociedad con respecto de los socios, conocida como velo corporativo. Dicha separación se traduce en una garantía que la sociedad mercantil da a quienes la integran para asegurar que no responderán </w:t>
      </w:r>
      <w:r w:rsidR="00BF698C">
        <w:rPr>
          <w:rFonts w:ascii="Arial Nova" w:hAnsi="Arial Nova" w:cs="Arial"/>
          <w:sz w:val="24"/>
          <w:szCs w:val="24"/>
        </w:rPr>
        <w:t xml:space="preserve">del </w:t>
      </w:r>
      <w:r w:rsidRPr="005D4396">
        <w:rPr>
          <w:rFonts w:ascii="Arial Nova" w:hAnsi="Arial Nova" w:cs="Arial"/>
          <w:sz w:val="24"/>
          <w:szCs w:val="24"/>
        </w:rPr>
        <w:t xml:space="preserve">pago de lo debido con sus bienes, sino que ello se hará con los de </w:t>
      </w:r>
      <w:r w:rsidRPr="005D4396">
        <w:rPr>
          <w:rFonts w:ascii="Arial Nova" w:hAnsi="Arial Nova" w:cs="Arial"/>
          <w:sz w:val="24"/>
          <w:szCs w:val="24"/>
        </w:rPr>
        <w:lastRenderedPageBreak/>
        <w:t>la empresa y, en caso de que ésta no tenga solvencia, los socios sólo responderán hasta el monto de la aportación de capital que hayan realizado.</w:t>
      </w:r>
    </w:p>
    <w:p w14:paraId="2DE832EA" w14:textId="77777777" w:rsidR="00164C31" w:rsidRPr="005D4396" w:rsidRDefault="00164C31" w:rsidP="00164C31">
      <w:pPr>
        <w:spacing w:after="0" w:line="240" w:lineRule="auto"/>
        <w:ind w:right="49"/>
        <w:jc w:val="both"/>
        <w:rPr>
          <w:rFonts w:ascii="Arial Nova" w:hAnsi="Arial Nova" w:cs="Arial"/>
          <w:sz w:val="24"/>
          <w:szCs w:val="24"/>
        </w:rPr>
      </w:pPr>
    </w:p>
    <w:p w14:paraId="3FF5FE25" w14:textId="77777777" w:rsidR="00164C31" w:rsidRPr="005D4396" w:rsidRDefault="00164C31" w:rsidP="00164C31">
      <w:pPr>
        <w:spacing w:after="0" w:line="240" w:lineRule="auto"/>
        <w:ind w:right="49"/>
        <w:jc w:val="both"/>
        <w:rPr>
          <w:rFonts w:ascii="Arial Nova" w:hAnsi="Arial Nova" w:cs="Arial"/>
          <w:sz w:val="24"/>
          <w:szCs w:val="24"/>
        </w:rPr>
      </w:pPr>
      <w:r w:rsidRPr="005D4396">
        <w:rPr>
          <w:rFonts w:ascii="Arial Nova" w:hAnsi="Arial Nova" w:cs="Arial"/>
          <w:sz w:val="24"/>
          <w:szCs w:val="24"/>
        </w:rPr>
        <w:t>Al respecto, la Sala estimó que, si bien negar la garantía de la separación patrimonial entre socios y sociedad es desconocer la naturaleza jurídica autónoma de una persona moral, e impacta en la economía, al derecho y al Estado de la principal herramienta para fortalecer el crecimiento y el desarrollo como pilares fundamentales de la constitución económica, es factible, de manera excepcional y a partir del principio de buena fe, la doctrina del ejercicio abusivo de un derecho y el fraude a la ley, levantar dicho velo corporativo.</w:t>
      </w:r>
    </w:p>
    <w:p w14:paraId="5B23A1B0" w14:textId="77777777" w:rsidR="00164C31" w:rsidRPr="005D4396" w:rsidRDefault="00164C31" w:rsidP="00164C31">
      <w:pPr>
        <w:spacing w:after="0" w:line="240" w:lineRule="auto"/>
        <w:ind w:right="49"/>
        <w:jc w:val="both"/>
        <w:rPr>
          <w:rFonts w:ascii="Arial Nova" w:hAnsi="Arial Nova" w:cs="Arial"/>
          <w:sz w:val="24"/>
          <w:szCs w:val="24"/>
        </w:rPr>
      </w:pPr>
    </w:p>
    <w:p w14:paraId="00FECB63" w14:textId="77777777" w:rsidR="00164C31" w:rsidRPr="005D4396" w:rsidRDefault="00164C31" w:rsidP="00164C31">
      <w:pPr>
        <w:spacing w:after="0" w:line="240" w:lineRule="auto"/>
        <w:ind w:right="49"/>
        <w:jc w:val="both"/>
        <w:rPr>
          <w:rFonts w:ascii="Arial Nova" w:hAnsi="Arial Nova" w:cs="Arial"/>
          <w:sz w:val="24"/>
          <w:szCs w:val="24"/>
        </w:rPr>
      </w:pPr>
      <w:r w:rsidRPr="005D4396">
        <w:rPr>
          <w:rFonts w:ascii="Arial Nova" w:hAnsi="Arial Nova" w:cs="Arial"/>
          <w:sz w:val="24"/>
          <w:szCs w:val="24"/>
        </w:rPr>
        <w:t>Lo anterior, con el fin de evitar el ejercicio abusivo de la personalidad jurídica de la sociedad mercantil con el propósito de eludir el cumplimiento de obligaciones o deberes jurídicos, haciendo a un lado la separación patrimonial o del ente de imputación que ha sido creado, en aras de conocer cuál es la auténtica y constitutiva personalidad social y económica de la empresa y esclarecer sus fines y propósitos en general o para un negocio en particular.</w:t>
      </w:r>
    </w:p>
    <w:p w14:paraId="49CD3E66" w14:textId="77777777" w:rsidR="00164C31" w:rsidRPr="005D4396" w:rsidRDefault="00164C31" w:rsidP="00164C31">
      <w:pPr>
        <w:spacing w:after="0" w:line="240" w:lineRule="auto"/>
        <w:ind w:right="49"/>
        <w:jc w:val="both"/>
        <w:rPr>
          <w:rFonts w:ascii="Arial Nova" w:hAnsi="Arial Nova" w:cs="Arial"/>
          <w:sz w:val="24"/>
          <w:szCs w:val="24"/>
        </w:rPr>
      </w:pPr>
    </w:p>
    <w:p w14:paraId="61DFBA0D" w14:textId="3452EF8A" w:rsidR="00164C31" w:rsidRPr="005D4396" w:rsidRDefault="00164C31" w:rsidP="00164C31">
      <w:pPr>
        <w:spacing w:after="0" w:line="240" w:lineRule="auto"/>
        <w:ind w:right="49"/>
        <w:jc w:val="both"/>
        <w:rPr>
          <w:rFonts w:ascii="Arial Nova" w:hAnsi="Arial Nova" w:cs="Arial"/>
          <w:sz w:val="24"/>
          <w:szCs w:val="24"/>
        </w:rPr>
      </w:pPr>
      <w:r w:rsidRPr="005D4396">
        <w:rPr>
          <w:rFonts w:ascii="Arial Nova" w:hAnsi="Arial Nova" w:cs="Arial"/>
          <w:sz w:val="24"/>
          <w:szCs w:val="24"/>
        </w:rPr>
        <w:t>No obstante, por tratarse de una medida restrictiva, que además pugna con una garantía de seguridad jurídica para la propia sociedad mercantil, sus socios y, en su caso, las otras empresas con las que conforma un grupo societario, el levantamiento del velo corporativo debe considerarse una medida excepcional, de uso restrictivo y aplicación subsidiaria, por lo que debe ser aplicada con necesaria prudencia y con la suficiente justificación para desconocer los principios que inspiran la regulación de las sociedades.</w:t>
      </w:r>
    </w:p>
    <w:p w14:paraId="5EF178B6" w14:textId="77777777" w:rsidR="00164C31" w:rsidRPr="005D4396" w:rsidRDefault="00164C31" w:rsidP="00164C31">
      <w:pPr>
        <w:spacing w:after="0" w:line="240" w:lineRule="auto"/>
        <w:ind w:right="49"/>
        <w:jc w:val="both"/>
        <w:rPr>
          <w:rFonts w:ascii="Arial Nova" w:hAnsi="Arial Nova" w:cs="Arial"/>
          <w:sz w:val="24"/>
          <w:szCs w:val="24"/>
        </w:rPr>
      </w:pPr>
    </w:p>
    <w:p w14:paraId="70B0BED9" w14:textId="77777777" w:rsidR="00164C31" w:rsidRPr="005D4396" w:rsidRDefault="00164C31" w:rsidP="00164C31">
      <w:pPr>
        <w:spacing w:after="0" w:line="240" w:lineRule="auto"/>
        <w:ind w:right="49"/>
        <w:jc w:val="both"/>
        <w:rPr>
          <w:rFonts w:ascii="Arial Nova" w:hAnsi="Arial Nova" w:cs="Arial"/>
          <w:sz w:val="24"/>
          <w:szCs w:val="24"/>
        </w:rPr>
      </w:pPr>
      <w:r w:rsidRPr="005D4396">
        <w:rPr>
          <w:rFonts w:ascii="Arial Nova" w:hAnsi="Arial Nova" w:cs="Arial"/>
          <w:sz w:val="24"/>
          <w:szCs w:val="24"/>
        </w:rPr>
        <w:t>Así, para que se dé el levantamiento del velo corporativo, la Sala determinó que es necesario que la decisión respectiva no se apoye únicamente en elementos objetivos —como la constitución de la sociedad, su conformación, su estructura y gobierno corporativo; la existencia de un adeudo o el incumplimiento de una obligación— sino también en elementos subjetivos —contexto fáctico— tendentes a evidenciar que la sociedad mercantil únicamente se constituyó con el propósito de defraudar a terceros o bien, que en una relación jurídica específica se utiliza el velo corporativo como fachada para incumplir el principio de buena fe, simular algún acto o actuar en fraude de tercero, entre otros.</w:t>
      </w:r>
    </w:p>
    <w:p w14:paraId="479677C7" w14:textId="77777777" w:rsidR="00164C31" w:rsidRPr="005D4396" w:rsidRDefault="00164C31" w:rsidP="00164C31">
      <w:pPr>
        <w:spacing w:after="0" w:line="240" w:lineRule="auto"/>
        <w:ind w:right="49"/>
        <w:jc w:val="both"/>
        <w:rPr>
          <w:rFonts w:ascii="Arial Nova" w:hAnsi="Arial Nova" w:cs="Arial"/>
          <w:sz w:val="24"/>
          <w:szCs w:val="24"/>
        </w:rPr>
      </w:pPr>
    </w:p>
    <w:p w14:paraId="727DEB53" w14:textId="77777777" w:rsidR="00164C31" w:rsidRPr="005D4396" w:rsidRDefault="00164C31" w:rsidP="00164C31">
      <w:pPr>
        <w:spacing w:after="0" w:line="240" w:lineRule="auto"/>
        <w:ind w:right="49"/>
        <w:jc w:val="both"/>
        <w:rPr>
          <w:rFonts w:ascii="Arial Nova" w:hAnsi="Arial Nova" w:cs="Arial"/>
          <w:sz w:val="24"/>
          <w:szCs w:val="24"/>
        </w:rPr>
      </w:pPr>
      <w:r w:rsidRPr="005D4396">
        <w:rPr>
          <w:rFonts w:ascii="Arial Nova" w:hAnsi="Arial Nova" w:cs="Arial"/>
          <w:sz w:val="24"/>
          <w:szCs w:val="24"/>
        </w:rPr>
        <w:t xml:space="preserve">En ese sentido, el Máximo Tribunal resolvió que, por regla general, no será procedente levantar el velo corporativo en un procedimiento cautelar prejudicial que por su naturaleza exige emitir una determinación sin audiencia de la contraparte —con independencia de que ese propio procedimiento prevea la posibilidad de oponerse con posterioridad—, pues por tratarse de una medida excepcional, debe </w:t>
      </w:r>
      <w:r w:rsidRPr="005D4396">
        <w:rPr>
          <w:rFonts w:ascii="Arial Nova" w:hAnsi="Arial Nova" w:cs="Arial"/>
          <w:sz w:val="24"/>
          <w:szCs w:val="24"/>
        </w:rPr>
        <w:lastRenderedPageBreak/>
        <w:t>existir evidencia fehaciente de la necesidad de desconocer la personalidad jurídica de la sociedad mercantil.</w:t>
      </w:r>
    </w:p>
    <w:p w14:paraId="63B9CDC8" w14:textId="77777777" w:rsidR="00164C31" w:rsidRPr="005D4396" w:rsidRDefault="00164C31" w:rsidP="00164C31">
      <w:pPr>
        <w:spacing w:after="0" w:line="240" w:lineRule="auto"/>
        <w:ind w:right="49"/>
        <w:jc w:val="both"/>
        <w:rPr>
          <w:rFonts w:ascii="Arial Nova" w:hAnsi="Arial Nova" w:cs="Arial"/>
          <w:sz w:val="24"/>
          <w:szCs w:val="24"/>
        </w:rPr>
      </w:pPr>
    </w:p>
    <w:p w14:paraId="6A184A98" w14:textId="77777777" w:rsidR="00164C31" w:rsidRPr="005D4396" w:rsidRDefault="00164C31" w:rsidP="00164C31">
      <w:pPr>
        <w:spacing w:after="0" w:line="240" w:lineRule="auto"/>
        <w:ind w:right="49"/>
        <w:jc w:val="both"/>
        <w:rPr>
          <w:rFonts w:ascii="Arial Nova" w:hAnsi="Arial Nova" w:cs="Arial"/>
          <w:sz w:val="24"/>
          <w:szCs w:val="24"/>
        </w:rPr>
      </w:pPr>
      <w:r w:rsidRPr="005D4396">
        <w:rPr>
          <w:rFonts w:ascii="Arial Nova" w:hAnsi="Arial Nova" w:cs="Arial"/>
          <w:sz w:val="24"/>
          <w:szCs w:val="24"/>
        </w:rPr>
        <w:t>A partir de estas razones, la Primera Sala revocó la sentencia impugnada y concedió el amparo solicitado tras concluir que, en el caso se levantó el velo corporativo en contravención a la regla general referida, aunado a que no se realizó una justificación suficiente para ello, ya que no se tomó en cuenta el contexto fáctico.</w:t>
      </w:r>
    </w:p>
    <w:p w14:paraId="3032D6CE" w14:textId="77777777" w:rsidR="00401BF3" w:rsidRPr="00E25408" w:rsidRDefault="00401BF3" w:rsidP="00566C9E">
      <w:pPr>
        <w:spacing w:after="0" w:line="240" w:lineRule="auto"/>
        <w:ind w:right="49"/>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4F5A63D" w14:textId="7B4DD124" w:rsidR="00642B2A"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A02DD6">
        <w:rPr>
          <w:rFonts w:ascii="Arial Nova" w:hAnsi="Arial Nova" w:cs="Times New Roman"/>
          <w:sz w:val="24"/>
          <w:szCs w:val="24"/>
        </w:rPr>
        <w:t xml:space="preserve">12 de septiembre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D3343A">
        <w:rPr>
          <w:rFonts w:ascii="Arial Nova" w:hAnsi="Arial Nova" w:cs="Times New Roman"/>
          <w:sz w:val="24"/>
          <w:szCs w:val="24"/>
        </w:rPr>
        <w:t xml:space="preserve">mayoría de tres votos </w:t>
      </w:r>
      <w:r w:rsidR="00F52725">
        <w:rPr>
          <w:rFonts w:ascii="Arial Nova" w:hAnsi="Arial Nova" w:cs="Times New Roman"/>
          <w:sz w:val="24"/>
          <w:szCs w:val="24"/>
        </w:rPr>
        <w:t xml:space="preserve">de </w:t>
      </w:r>
      <w:r w:rsidR="00CA2359">
        <w:rPr>
          <w:rFonts w:ascii="Arial Nova" w:hAnsi="Arial Nova" w:cs="Times New Roman"/>
          <w:sz w:val="24"/>
          <w:szCs w:val="24"/>
        </w:rPr>
        <w:t>la Señora</w:t>
      </w:r>
      <w:r w:rsidR="00D3343A">
        <w:rPr>
          <w:rFonts w:ascii="Arial Nova" w:hAnsi="Arial Nova" w:cs="Times New Roman"/>
          <w:sz w:val="24"/>
          <w:szCs w:val="24"/>
        </w:rPr>
        <w:t xml:space="preserve"> </w:t>
      </w:r>
      <w:r w:rsidR="00CA2359">
        <w:rPr>
          <w:rFonts w:ascii="Arial Nova" w:hAnsi="Arial Nova" w:cs="Times New Roman"/>
          <w:sz w:val="24"/>
          <w:szCs w:val="24"/>
        </w:rPr>
        <w:t>Ministr</w:t>
      </w:r>
      <w:r w:rsidR="00D3343A">
        <w:rPr>
          <w:rFonts w:ascii="Arial Nova" w:hAnsi="Arial Nova" w:cs="Times New Roman"/>
          <w:sz w:val="24"/>
          <w:szCs w:val="24"/>
        </w:rPr>
        <w:t xml:space="preserve">a </w:t>
      </w:r>
      <w:r w:rsidR="007E2C1C">
        <w:rPr>
          <w:rFonts w:ascii="Arial Nova" w:hAnsi="Arial Nova" w:cs="Times New Roman"/>
          <w:sz w:val="24"/>
          <w:szCs w:val="24"/>
        </w:rPr>
        <w:t>Loretta Ortiz Ahlf,</w:t>
      </w:r>
      <w:r w:rsidR="00CA348D">
        <w:rPr>
          <w:rFonts w:ascii="Arial Nova" w:hAnsi="Arial Nova" w:cs="Times New Roman"/>
          <w:sz w:val="24"/>
          <w:szCs w:val="24"/>
        </w:rPr>
        <w:t xml:space="preserve"> </w:t>
      </w:r>
      <w:r w:rsidR="0038791E">
        <w:rPr>
          <w:rFonts w:ascii="Arial Nova" w:hAnsi="Arial Nova" w:cs="Times New Roman"/>
          <w:sz w:val="24"/>
          <w:szCs w:val="24"/>
        </w:rPr>
        <w:t>así como de los Señores Ministros</w:t>
      </w:r>
      <w:r w:rsidR="00381B8F">
        <w:rPr>
          <w:rFonts w:ascii="Arial Nova" w:hAnsi="Arial Nova" w:cs="Times New Roman"/>
          <w:sz w:val="24"/>
          <w:szCs w:val="24"/>
        </w:rPr>
        <w:t xml:space="preserve"> </w:t>
      </w:r>
      <w:r w:rsidR="00CA348D">
        <w:rPr>
          <w:rFonts w:ascii="Arial Nova" w:hAnsi="Arial Nova" w:cs="Times New Roman"/>
          <w:sz w:val="24"/>
          <w:szCs w:val="24"/>
        </w:rPr>
        <w:t>Juan Luis González Alcántara Carrancá</w:t>
      </w:r>
      <w:r w:rsidR="00D3343A">
        <w:rPr>
          <w:rFonts w:ascii="Arial Nova" w:hAnsi="Arial Nova" w:cs="Times New Roman"/>
          <w:sz w:val="24"/>
          <w:szCs w:val="24"/>
        </w:rPr>
        <w:t xml:space="preserve"> y </w:t>
      </w:r>
      <w:r w:rsidR="004E6312">
        <w:rPr>
          <w:rFonts w:ascii="Arial Nova" w:hAnsi="Arial Nova" w:cs="Times New Roman"/>
          <w:sz w:val="24"/>
          <w:szCs w:val="24"/>
        </w:rPr>
        <w:t>Alfredo Gutiérrez Ortiz Mena</w:t>
      </w:r>
      <w:r w:rsidR="00D3343A">
        <w:rPr>
          <w:rFonts w:ascii="Arial Nova" w:hAnsi="Arial Nova" w:cs="Times New Roman"/>
          <w:sz w:val="24"/>
          <w:szCs w:val="24"/>
        </w:rPr>
        <w:t xml:space="preserve">. En contra de los emitidos por la </w:t>
      </w:r>
      <w:r w:rsidR="00E25408">
        <w:rPr>
          <w:rFonts w:ascii="Arial Nova" w:hAnsi="Arial Nova" w:cs="Times New Roman"/>
          <w:sz w:val="24"/>
          <w:szCs w:val="24"/>
        </w:rPr>
        <w:t xml:space="preserve">Señora </w:t>
      </w:r>
      <w:r w:rsidR="00D3343A">
        <w:rPr>
          <w:rFonts w:ascii="Arial Nova" w:hAnsi="Arial Nova" w:cs="Times New Roman"/>
          <w:sz w:val="24"/>
          <w:szCs w:val="24"/>
        </w:rPr>
        <w:t>Ministra Ana Margarita Ríos Farjat</w:t>
      </w:r>
      <w:r w:rsidR="004E6312">
        <w:rPr>
          <w:rFonts w:ascii="Arial Nova" w:hAnsi="Arial Nova" w:cs="Times New Roman"/>
          <w:sz w:val="24"/>
          <w:szCs w:val="24"/>
        </w:rPr>
        <w:t xml:space="preserve"> </w:t>
      </w:r>
      <w:r w:rsidR="00C45959">
        <w:rPr>
          <w:rFonts w:ascii="Arial Nova" w:hAnsi="Arial Nova" w:cs="Times New Roman"/>
          <w:sz w:val="24"/>
          <w:szCs w:val="24"/>
        </w:rPr>
        <w:t>y</w:t>
      </w:r>
      <w:r w:rsidR="006A07DC">
        <w:rPr>
          <w:rFonts w:ascii="Arial Nova" w:hAnsi="Arial Nova" w:cs="Times New Roman"/>
          <w:sz w:val="24"/>
          <w:szCs w:val="24"/>
        </w:rPr>
        <w:t xml:space="preserve"> </w:t>
      </w:r>
      <w:r w:rsidR="00E25408">
        <w:rPr>
          <w:rFonts w:ascii="Arial Nova" w:hAnsi="Arial Nova" w:cs="Times New Roman"/>
          <w:sz w:val="24"/>
          <w:szCs w:val="24"/>
        </w:rPr>
        <w:t xml:space="preserve">el Señor Ministro </w:t>
      </w:r>
      <w:r w:rsidR="00381B8F">
        <w:rPr>
          <w:rFonts w:ascii="Arial Nova" w:hAnsi="Arial Nova" w:cs="Times New Roman"/>
          <w:sz w:val="24"/>
          <w:szCs w:val="24"/>
        </w:rPr>
        <w:t>Jorge Mario Pardo Rebolledo</w:t>
      </w:r>
      <w:r w:rsidR="00F52725">
        <w:rPr>
          <w:rFonts w:ascii="Arial Nova" w:hAnsi="Arial Nova" w:cs="Times New Roman"/>
          <w:sz w:val="24"/>
          <w:szCs w:val="24"/>
        </w:rPr>
        <w:t xml:space="preserve"> (Presidente). </w:t>
      </w:r>
    </w:p>
    <w:p w14:paraId="45C38175" w14:textId="77777777" w:rsidR="007E2C1C" w:rsidRDefault="007E2C1C"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51F5" w14:textId="77777777" w:rsidR="00802CB7" w:rsidRDefault="00802CB7" w:rsidP="000A7E7B">
      <w:pPr>
        <w:spacing w:after="0" w:line="240" w:lineRule="auto"/>
      </w:pPr>
      <w:r>
        <w:separator/>
      </w:r>
    </w:p>
    <w:p w14:paraId="3699FD8B" w14:textId="77777777" w:rsidR="00802CB7" w:rsidRDefault="00802CB7"/>
  </w:endnote>
  <w:endnote w:type="continuationSeparator" w:id="0">
    <w:p w14:paraId="4833ABE8" w14:textId="77777777" w:rsidR="00802CB7" w:rsidRDefault="00802CB7" w:rsidP="000A7E7B">
      <w:pPr>
        <w:spacing w:after="0" w:line="240" w:lineRule="auto"/>
      </w:pPr>
      <w:r>
        <w:continuationSeparator/>
      </w:r>
    </w:p>
    <w:p w14:paraId="0156B003" w14:textId="77777777" w:rsidR="00802CB7" w:rsidRDefault="00802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4FE7E" w14:textId="77777777" w:rsidR="00802CB7" w:rsidRDefault="00802CB7" w:rsidP="000A7E7B">
      <w:pPr>
        <w:spacing w:after="0" w:line="240" w:lineRule="auto"/>
      </w:pPr>
      <w:r>
        <w:separator/>
      </w:r>
    </w:p>
    <w:p w14:paraId="3333E118" w14:textId="77777777" w:rsidR="00802CB7" w:rsidRDefault="00802CB7"/>
  </w:footnote>
  <w:footnote w:type="continuationSeparator" w:id="0">
    <w:p w14:paraId="409E3599" w14:textId="77777777" w:rsidR="00802CB7" w:rsidRDefault="00802CB7" w:rsidP="000A7E7B">
      <w:pPr>
        <w:spacing w:after="0" w:line="240" w:lineRule="auto"/>
      </w:pPr>
      <w:r>
        <w:continuationSeparator/>
      </w:r>
    </w:p>
    <w:p w14:paraId="107AF3AB" w14:textId="77777777" w:rsidR="00802CB7" w:rsidRDefault="00802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E4466ED" w:rsidR="0048582B" w:rsidRPr="00046D48" w:rsidRDefault="0048582B" w:rsidP="004B04B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CA348D">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7E2C1C">
      <w:rPr>
        <w:rFonts w:ascii="Arial Nova" w:hAnsi="Arial Nova" w:cs="Times New Roman"/>
        <w:b/>
        <w:bCs/>
        <w:color w:val="002060"/>
        <w:sz w:val="20"/>
        <w:szCs w:val="20"/>
      </w:rPr>
      <w:t>26</w:t>
    </w:r>
    <w:r w:rsidR="00164C31">
      <w:rPr>
        <w:rFonts w:ascii="Arial Nova" w:hAnsi="Arial Nova" w:cs="Times New Roman"/>
        <w:b/>
        <w:bCs/>
        <w:color w:val="002060"/>
        <w:sz w:val="20"/>
        <w:szCs w:val="20"/>
      </w:rPr>
      <w:t>6</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164C31">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05509"/>
    <w:multiLevelType w:val="hybridMultilevel"/>
    <w:tmpl w:val="DDA8F48A"/>
    <w:lvl w:ilvl="0" w:tplc="1CC4E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0"/>
  </w:num>
  <w:num w:numId="3" w16cid:durableId="1188107756">
    <w:abstractNumId w:val="1"/>
  </w:num>
  <w:num w:numId="4" w16cid:durableId="98184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3C18"/>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4C31"/>
    <w:rsid w:val="00165F78"/>
    <w:rsid w:val="00166644"/>
    <w:rsid w:val="00166D5A"/>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2110"/>
    <w:rsid w:val="0024330C"/>
    <w:rsid w:val="00244FC7"/>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27A"/>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BD7"/>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1B8F"/>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1B1F"/>
    <w:rsid w:val="00401BF3"/>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60D1E"/>
    <w:rsid w:val="0046660B"/>
    <w:rsid w:val="004674D6"/>
    <w:rsid w:val="00467C3B"/>
    <w:rsid w:val="004716A3"/>
    <w:rsid w:val="004723D9"/>
    <w:rsid w:val="004737F5"/>
    <w:rsid w:val="00476867"/>
    <w:rsid w:val="00482ED2"/>
    <w:rsid w:val="004835A9"/>
    <w:rsid w:val="00484742"/>
    <w:rsid w:val="004855FE"/>
    <w:rsid w:val="0048582B"/>
    <w:rsid w:val="00486D91"/>
    <w:rsid w:val="00492458"/>
    <w:rsid w:val="00492E16"/>
    <w:rsid w:val="00492E22"/>
    <w:rsid w:val="004938B3"/>
    <w:rsid w:val="004A3113"/>
    <w:rsid w:val="004A4DA4"/>
    <w:rsid w:val="004A515E"/>
    <w:rsid w:val="004B04BC"/>
    <w:rsid w:val="004B0908"/>
    <w:rsid w:val="004B3CAB"/>
    <w:rsid w:val="004B3D59"/>
    <w:rsid w:val="004B5FFD"/>
    <w:rsid w:val="004C13B4"/>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312"/>
    <w:rsid w:val="004E6414"/>
    <w:rsid w:val="004F0ADF"/>
    <w:rsid w:val="004F29E0"/>
    <w:rsid w:val="00504C12"/>
    <w:rsid w:val="005103BD"/>
    <w:rsid w:val="00510D4F"/>
    <w:rsid w:val="0051268B"/>
    <w:rsid w:val="005131ED"/>
    <w:rsid w:val="00523C76"/>
    <w:rsid w:val="00526AE0"/>
    <w:rsid w:val="00526F66"/>
    <w:rsid w:val="00527634"/>
    <w:rsid w:val="00532133"/>
    <w:rsid w:val="0053735F"/>
    <w:rsid w:val="00544056"/>
    <w:rsid w:val="0055469E"/>
    <w:rsid w:val="00554BB3"/>
    <w:rsid w:val="00554CAF"/>
    <w:rsid w:val="005552DB"/>
    <w:rsid w:val="00564FF0"/>
    <w:rsid w:val="005651E4"/>
    <w:rsid w:val="00566C9E"/>
    <w:rsid w:val="005723A9"/>
    <w:rsid w:val="0057274B"/>
    <w:rsid w:val="00577488"/>
    <w:rsid w:val="00583C0F"/>
    <w:rsid w:val="00584C2F"/>
    <w:rsid w:val="00587CCA"/>
    <w:rsid w:val="00593D25"/>
    <w:rsid w:val="005962C5"/>
    <w:rsid w:val="005A31A2"/>
    <w:rsid w:val="005A400D"/>
    <w:rsid w:val="005A4594"/>
    <w:rsid w:val="005A61DD"/>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396"/>
    <w:rsid w:val="005D4956"/>
    <w:rsid w:val="005D668C"/>
    <w:rsid w:val="005D7615"/>
    <w:rsid w:val="005D7AF6"/>
    <w:rsid w:val="005E054A"/>
    <w:rsid w:val="005F2096"/>
    <w:rsid w:val="005F33A7"/>
    <w:rsid w:val="005F6321"/>
    <w:rsid w:val="005F668F"/>
    <w:rsid w:val="005F6734"/>
    <w:rsid w:val="00601D71"/>
    <w:rsid w:val="006126BA"/>
    <w:rsid w:val="006146C9"/>
    <w:rsid w:val="0062067E"/>
    <w:rsid w:val="006206CA"/>
    <w:rsid w:val="00622CF0"/>
    <w:rsid w:val="00624A06"/>
    <w:rsid w:val="00624A59"/>
    <w:rsid w:val="00630C4B"/>
    <w:rsid w:val="00630FC2"/>
    <w:rsid w:val="006317C8"/>
    <w:rsid w:val="00634DD2"/>
    <w:rsid w:val="00637823"/>
    <w:rsid w:val="006408E4"/>
    <w:rsid w:val="0064214E"/>
    <w:rsid w:val="006421A3"/>
    <w:rsid w:val="00642B2A"/>
    <w:rsid w:val="00644F86"/>
    <w:rsid w:val="00646B50"/>
    <w:rsid w:val="00650211"/>
    <w:rsid w:val="006524F2"/>
    <w:rsid w:val="00653A76"/>
    <w:rsid w:val="0065440E"/>
    <w:rsid w:val="00663064"/>
    <w:rsid w:val="0068196C"/>
    <w:rsid w:val="00681F98"/>
    <w:rsid w:val="00686395"/>
    <w:rsid w:val="006916BA"/>
    <w:rsid w:val="00694131"/>
    <w:rsid w:val="006A07DC"/>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6BF2"/>
    <w:rsid w:val="007A7085"/>
    <w:rsid w:val="007B25BC"/>
    <w:rsid w:val="007B27CA"/>
    <w:rsid w:val="007B2CCF"/>
    <w:rsid w:val="007B346F"/>
    <w:rsid w:val="007D1AA1"/>
    <w:rsid w:val="007D500D"/>
    <w:rsid w:val="007D5D5D"/>
    <w:rsid w:val="007E2277"/>
    <w:rsid w:val="007E2C1C"/>
    <w:rsid w:val="007E5FAA"/>
    <w:rsid w:val="007E67CA"/>
    <w:rsid w:val="007F270C"/>
    <w:rsid w:val="007F3616"/>
    <w:rsid w:val="00802CB7"/>
    <w:rsid w:val="00803455"/>
    <w:rsid w:val="008109A5"/>
    <w:rsid w:val="00813028"/>
    <w:rsid w:val="008134BE"/>
    <w:rsid w:val="00814535"/>
    <w:rsid w:val="00822558"/>
    <w:rsid w:val="00823513"/>
    <w:rsid w:val="0082358F"/>
    <w:rsid w:val="00825231"/>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07D15"/>
    <w:rsid w:val="009116D9"/>
    <w:rsid w:val="009143E0"/>
    <w:rsid w:val="00914C03"/>
    <w:rsid w:val="0092351C"/>
    <w:rsid w:val="009243DB"/>
    <w:rsid w:val="00925421"/>
    <w:rsid w:val="00925968"/>
    <w:rsid w:val="00925F20"/>
    <w:rsid w:val="00926D1F"/>
    <w:rsid w:val="0092729D"/>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3518"/>
    <w:rsid w:val="009D4D4F"/>
    <w:rsid w:val="009E1DB0"/>
    <w:rsid w:val="009E501E"/>
    <w:rsid w:val="009F092B"/>
    <w:rsid w:val="009F435E"/>
    <w:rsid w:val="009F4D4B"/>
    <w:rsid w:val="009F54C9"/>
    <w:rsid w:val="009F5A78"/>
    <w:rsid w:val="009F65DC"/>
    <w:rsid w:val="00A014D9"/>
    <w:rsid w:val="00A02821"/>
    <w:rsid w:val="00A02DD6"/>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16BE5"/>
    <w:rsid w:val="00B21008"/>
    <w:rsid w:val="00B237A1"/>
    <w:rsid w:val="00B323DA"/>
    <w:rsid w:val="00B343F9"/>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6F9"/>
    <w:rsid w:val="00BC3D1C"/>
    <w:rsid w:val="00BC6626"/>
    <w:rsid w:val="00BD416C"/>
    <w:rsid w:val="00BD45D2"/>
    <w:rsid w:val="00BD62C6"/>
    <w:rsid w:val="00BD79B9"/>
    <w:rsid w:val="00BE0015"/>
    <w:rsid w:val="00BE692A"/>
    <w:rsid w:val="00BF452E"/>
    <w:rsid w:val="00BF698C"/>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30FA"/>
    <w:rsid w:val="00C45959"/>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48D"/>
    <w:rsid w:val="00CA3F75"/>
    <w:rsid w:val="00CA5857"/>
    <w:rsid w:val="00CB3456"/>
    <w:rsid w:val="00CB39A4"/>
    <w:rsid w:val="00CC5293"/>
    <w:rsid w:val="00CD3037"/>
    <w:rsid w:val="00CE0FA8"/>
    <w:rsid w:val="00CE21AD"/>
    <w:rsid w:val="00CE3DB1"/>
    <w:rsid w:val="00CF0739"/>
    <w:rsid w:val="00CF3121"/>
    <w:rsid w:val="00CF32FA"/>
    <w:rsid w:val="00CF7A22"/>
    <w:rsid w:val="00D04554"/>
    <w:rsid w:val="00D117AE"/>
    <w:rsid w:val="00D12F06"/>
    <w:rsid w:val="00D15E94"/>
    <w:rsid w:val="00D21321"/>
    <w:rsid w:val="00D22676"/>
    <w:rsid w:val="00D24FC6"/>
    <w:rsid w:val="00D26ADB"/>
    <w:rsid w:val="00D30C28"/>
    <w:rsid w:val="00D30C2E"/>
    <w:rsid w:val="00D3329A"/>
    <w:rsid w:val="00D3343A"/>
    <w:rsid w:val="00D4428F"/>
    <w:rsid w:val="00D53B10"/>
    <w:rsid w:val="00D54F58"/>
    <w:rsid w:val="00D574B7"/>
    <w:rsid w:val="00D57F00"/>
    <w:rsid w:val="00D60DBB"/>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4D69"/>
    <w:rsid w:val="00DF65FC"/>
    <w:rsid w:val="00DF7C53"/>
    <w:rsid w:val="00E00285"/>
    <w:rsid w:val="00E00A82"/>
    <w:rsid w:val="00E170FF"/>
    <w:rsid w:val="00E205F7"/>
    <w:rsid w:val="00E20849"/>
    <w:rsid w:val="00E22045"/>
    <w:rsid w:val="00E229FD"/>
    <w:rsid w:val="00E25408"/>
    <w:rsid w:val="00E260E5"/>
    <w:rsid w:val="00E31613"/>
    <w:rsid w:val="00E318A5"/>
    <w:rsid w:val="00E32435"/>
    <w:rsid w:val="00E33B9E"/>
    <w:rsid w:val="00E36FDF"/>
    <w:rsid w:val="00E4259F"/>
    <w:rsid w:val="00E42CFE"/>
    <w:rsid w:val="00E5127E"/>
    <w:rsid w:val="00E54537"/>
    <w:rsid w:val="00E5503D"/>
    <w:rsid w:val="00E56834"/>
    <w:rsid w:val="00E63D4C"/>
    <w:rsid w:val="00E679F9"/>
    <w:rsid w:val="00E709FE"/>
    <w:rsid w:val="00E7637B"/>
    <w:rsid w:val="00E801E6"/>
    <w:rsid w:val="00E9398D"/>
    <w:rsid w:val="00E978CC"/>
    <w:rsid w:val="00EA667E"/>
    <w:rsid w:val="00EA6792"/>
    <w:rsid w:val="00EA6F77"/>
    <w:rsid w:val="00EA7ECA"/>
    <w:rsid w:val="00EB10C6"/>
    <w:rsid w:val="00EB12EC"/>
    <w:rsid w:val="00EB2266"/>
    <w:rsid w:val="00EB3122"/>
    <w:rsid w:val="00EB585F"/>
    <w:rsid w:val="00EB59C8"/>
    <w:rsid w:val="00EC24A5"/>
    <w:rsid w:val="00EC35D6"/>
    <w:rsid w:val="00EC51AD"/>
    <w:rsid w:val="00EC559B"/>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4904"/>
    <w:rsid w:val="00F1546D"/>
    <w:rsid w:val="00F16BCE"/>
    <w:rsid w:val="00F172CF"/>
    <w:rsid w:val="00F22959"/>
    <w:rsid w:val="00F318BB"/>
    <w:rsid w:val="00F34564"/>
    <w:rsid w:val="00F35270"/>
    <w:rsid w:val="00F4138F"/>
    <w:rsid w:val="00F42921"/>
    <w:rsid w:val="00F45F4D"/>
    <w:rsid w:val="00F46BE8"/>
    <w:rsid w:val="00F46CF0"/>
    <w:rsid w:val="00F477BE"/>
    <w:rsid w:val="00F505F6"/>
    <w:rsid w:val="00F5261C"/>
    <w:rsid w:val="00F52725"/>
    <w:rsid w:val="00F5371B"/>
    <w:rsid w:val="00F54A66"/>
    <w:rsid w:val="00F54F46"/>
    <w:rsid w:val="00F605C3"/>
    <w:rsid w:val="00F60994"/>
    <w:rsid w:val="00F6655B"/>
    <w:rsid w:val="00F66F10"/>
    <w:rsid w:val="00F6787C"/>
    <w:rsid w:val="00F67D19"/>
    <w:rsid w:val="00F751FF"/>
    <w:rsid w:val="00F81918"/>
    <w:rsid w:val="00F8396A"/>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Lista vistosa - Énfasis 11,Trascripción,Párrafo de lista2,Lista multicolor - Énfasis 11,Dot pt,lp1,lp"/>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Lista vistosa - Énfasis 11 Car,Trascripción Car,Párrafo de lista2 Car"/>
    <w:link w:val="Prrafodelista"/>
    <w:uiPriority w:val="34"/>
    <w:qFormat/>
    <w:locked/>
    <w:rsid w:val="00A54C77"/>
  </w:style>
  <w:style w:type="paragraph" w:customStyle="1" w:styleId="corte2ponente">
    <w:name w:val="corte2 ponente"/>
    <w:basedOn w:val="Normal"/>
    <w:link w:val="corte2ponenteCar"/>
    <w:uiPriority w:val="99"/>
    <w:rsid w:val="00F14904"/>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F14904"/>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66737037">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64529802">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03917336">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527867264">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7187</Characters>
  <Application>Microsoft Office Word</Application>
  <DocSecurity>0</DocSecurity>
  <Lines>7187</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2024-12-06T19:25:00Z</dcterms:created>
  <dcterms:modified xsi:type="dcterms:W3CDTF">2024-12-06T19:25:00Z</dcterms:modified>
</cp:coreProperties>
</file>