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1A2010">
      <w:pPr>
        <w:shd w:val="clear" w:color="auto" w:fill="FFFFFF" w:themeFill="background1"/>
        <w:tabs>
          <w:tab w:val="left" w:pos="8505"/>
        </w:tabs>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41C44226" w14:textId="701EABE6" w:rsidR="00046D48" w:rsidRDefault="00AD1AE5" w:rsidP="001A2010">
      <w:pPr>
        <w:shd w:val="clear" w:color="auto" w:fill="E7E6E6" w:themeFill="background2"/>
        <w:spacing w:after="0" w:line="276" w:lineRule="auto"/>
        <w:ind w:right="49"/>
        <w:jc w:val="center"/>
        <w:rPr>
          <w:rFonts w:ascii="Arial Nova" w:hAnsi="Arial Nova" w:cs="Times New Roman"/>
          <w:sz w:val="18"/>
          <w:szCs w:val="18"/>
        </w:rPr>
      </w:pPr>
      <w:r>
        <w:rPr>
          <w:rFonts w:ascii="Arial Nova" w:hAnsi="Arial Nova" w:cs="Times New Roman"/>
          <w:b/>
          <w:bCs/>
          <w:smallCaps/>
          <w:color w:val="002060"/>
        </w:rPr>
        <w:t>RECONOCIMIENTO DE INOCENCIA. LA FIGURA PREVISTA EN EL ARTÍCULO 486 DEL CÓDIGO NACIONAL DE PROCEDIMIENTOS PENALES NO VULNERA LOS DERECHOS FUNDAMENTALES DE IGUALDAD, ACCESO A LA JUSTICIA Y DEBIDO PROCESO</w:t>
      </w:r>
    </w:p>
    <w:p w14:paraId="160E4C24" w14:textId="77777777" w:rsidR="008439B1" w:rsidRPr="004C2D17" w:rsidRDefault="008439B1" w:rsidP="00D22676">
      <w:pPr>
        <w:spacing w:after="0" w:line="240" w:lineRule="auto"/>
        <w:jc w:val="both"/>
        <w:rPr>
          <w:rFonts w:ascii="Arial Nova" w:hAnsi="Arial Nova" w:cs="Times New Roman"/>
          <w:sz w:val="18"/>
          <w:szCs w:val="18"/>
        </w:rPr>
      </w:pPr>
    </w:p>
    <w:p w14:paraId="3D6CDE51" w14:textId="5544E52D" w:rsidR="00832148" w:rsidRPr="001624A8" w:rsidRDefault="000018A2" w:rsidP="00D10B61">
      <w:pPr>
        <w:shd w:val="clear" w:color="auto" w:fill="EDEDED" w:themeFill="accent3" w:themeFillTint="33"/>
        <w:spacing w:after="0" w:line="240" w:lineRule="auto"/>
        <w:ind w:left="340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w:t>
      </w:r>
      <w:r w:rsidR="00EA7ECA">
        <w:rPr>
          <w:rFonts w:ascii="Arial Nova" w:hAnsi="Arial Nova" w:cs="Times New Roman"/>
          <w:b/>
          <w:bCs/>
          <w:smallCaps/>
          <w:color w:val="002060"/>
        </w:rPr>
        <w:t>tr</w:t>
      </w:r>
      <w:r w:rsidR="00D10B61">
        <w:rPr>
          <w:rFonts w:ascii="Arial Nova" w:hAnsi="Arial Nova" w:cs="Times New Roman"/>
          <w:b/>
          <w:bCs/>
          <w:smallCaps/>
          <w:color w:val="002060"/>
        </w:rPr>
        <w:t>a Loretta Ortiz Ahlf</w:t>
      </w:r>
      <w:r w:rsidR="004A683D">
        <w:rPr>
          <w:rFonts w:ascii="Arial Nova" w:hAnsi="Arial Nova" w:cs="Times New Roman"/>
          <w:b/>
          <w:bCs/>
          <w:smallCaps/>
          <w:color w:val="002060"/>
        </w:rPr>
        <w:t>.</w:t>
      </w:r>
    </w:p>
    <w:p w14:paraId="7F4C041F" w14:textId="168D7E94" w:rsidR="00D10B61" w:rsidRDefault="000018A2" w:rsidP="00D10B61">
      <w:pPr>
        <w:shd w:val="clear" w:color="auto" w:fill="EDEDED" w:themeFill="accent3" w:themeFillTint="33"/>
        <w:spacing w:after="0" w:line="240" w:lineRule="auto"/>
        <w:ind w:left="340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0B3C18">
        <w:rPr>
          <w:rFonts w:ascii="Arial Nova" w:hAnsi="Arial Nova" w:cs="Times New Roman"/>
          <w:smallCaps/>
          <w:color w:val="002060"/>
        </w:rPr>
        <w:t>o</w:t>
      </w:r>
      <w:bookmarkEnd w:id="2"/>
      <w:r w:rsidR="00D10B61">
        <w:rPr>
          <w:rFonts w:ascii="Arial Nova" w:hAnsi="Arial Nova" w:cs="Times New Roman"/>
          <w:smallCaps/>
          <w:color w:val="002060"/>
        </w:rPr>
        <w:t xml:space="preserve">: </w:t>
      </w:r>
      <w:r w:rsidR="00744B18">
        <w:rPr>
          <w:rFonts w:ascii="Arial Nova" w:hAnsi="Arial Nova" w:cs="Times New Roman"/>
          <w:smallCaps/>
          <w:color w:val="002060"/>
        </w:rPr>
        <w:t>Rodolfo Antonio Becerra Jáurez</w:t>
      </w:r>
      <w:r w:rsidR="00D10B61">
        <w:rPr>
          <w:rFonts w:ascii="Arial Nova" w:hAnsi="Arial Nova" w:cs="Times New Roman"/>
          <w:smallCaps/>
          <w:color w:val="002060"/>
        </w:rPr>
        <w:t>.</w:t>
      </w:r>
    </w:p>
    <w:p w14:paraId="0C6789B4" w14:textId="588F34F0" w:rsidR="00DE375C" w:rsidRDefault="00D10B61" w:rsidP="00D10B61">
      <w:pPr>
        <w:shd w:val="clear" w:color="auto" w:fill="EDEDED" w:themeFill="accent3" w:themeFillTint="33"/>
        <w:spacing w:after="0" w:line="240" w:lineRule="auto"/>
        <w:ind w:left="3402"/>
        <w:jc w:val="right"/>
        <w:rPr>
          <w:rFonts w:ascii="Arial Nova" w:hAnsi="Arial Nova" w:cs="Times New Roman"/>
          <w:smallCaps/>
          <w:color w:val="002060"/>
        </w:rPr>
      </w:pPr>
      <w:r>
        <w:rPr>
          <w:rFonts w:ascii="Arial Nova" w:hAnsi="Arial Nova" w:cs="Times New Roman"/>
          <w:smallCaps/>
          <w:color w:val="002060"/>
        </w:rPr>
        <w:t xml:space="preserve">Secretario Auxiliar: </w:t>
      </w:r>
      <w:r w:rsidR="00744B18">
        <w:rPr>
          <w:rFonts w:ascii="Arial Nova" w:hAnsi="Arial Nova" w:cs="Times New Roman"/>
          <w:smallCaps/>
          <w:color w:val="002060"/>
        </w:rPr>
        <w:t>Armando Agustín Solís Monroy</w:t>
      </w:r>
      <w:r>
        <w:rPr>
          <w:rFonts w:ascii="Arial Nova" w:hAnsi="Arial Nova" w:cs="Times New Roman"/>
          <w:smallCaps/>
          <w:color w:val="002060"/>
        </w:rPr>
        <w:t>.</w:t>
      </w:r>
    </w:p>
    <w:p w14:paraId="1C0B4F90" w14:textId="062AAD2D" w:rsidR="001C01EC" w:rsidRPr="004C2D17" w:rsidRDefault="001C01EC" w:rsidP="00D10B61">
      <w:pPr>
        <w:shd w:val="clear" w:color="auto" w:fill="EDEDED" w:themeFill="accent3" w:themeFillTint="33"/>
        <w:spacing w:after="0" w:line="240" w:lineRule="auto"/>
        <w:ind w:left="3402"/>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4A683D">
        <w:rPr>
          <w:rFonts w:ascii="Arial Nova" w:hAnsi="Arial Nova" w:cs="Times New Roman"/>
          <w:smallCaps/>
          <w:color w:val="002060"/>
        </w:rPr>
        <w:t xml:space="preserve">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D645FE">
        <w:rPr>
          <w:rFonts w:ascii="Arial Nova" w:hAnsi="Arial Nova" w:cs="Times New Roman"/>
          <w:smallCaps/>
          <w:color w:val="002060"/>
        </w:rPr>
        <w:t xml:space="preserve"> </w:t>
      </w:r>
      <w:r w:rsidR="00744B18">
        <w:rPr>
          <w:rFonts w:ascii="Arial Nova" w:hAnsi="Arial Nova" w:cs="Times New Roman"/>
          <w:smallCaps/>
          <w:color w:val="002060"/>
        </w:rPr>
        <w:t>657</w:t>
      </w:r>
      <w:r w:rsidR="00A54C77">
        <w:rPr>
          <w:rFonts w:ascii="Arial Nova" w:hAnsi="Arial Nova" w:cs="Times New Roman"/>
          <w:smallCaps/>
          <w:color w:val="002060"/>
        </w:rPr>
        <w:t>/2023</w:t>
      </w:r>
      <w:r w:rsidRPr="004C2D17">
        <w:rPr>
          <w:rFonts w:ascii="Arial Nova" w:hAnsi="Arial Nova" w:cs="Times New Roman"/>
          <w:smallCaps/>
        </w:rPr>
        <w:t>.</w:t>
      </w:r>
      <w:bookmarkEnd w:id="1"/>
      <w:bookmarkEnd w:id="3"/>
    </w:p>
    <w:p w14:paraId="23CDDC7C" w14:textId="667BF1B2" w:rsidR="001624A8" w:rsidRDefault="001624A8" w:rsidP="001C01EC">
      <w:pPr>
        <w:spacing w:after="0" w:line="240" w:lineRule="auto"/>
        <w:jc w:val="center"/>
        <w:rPr>
          <w:rFonts w:ascii="Arial Nova" w:hAnsi="Arial Nova" w:cs="Times New Roman"/>
          <w:sz w:val="20"/>
          <w:szCs w:val="20"/>
        </w:rPr>
      </w:pPr>
    </w:p>
    <w:p w14:paraId="3BF438E5" w14:textId="77777777" w:rsidR="001D024D" w:rsidRPr="001C01EC" w:rsidRDefault="001D024D"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1C62FD6" w14:textId="7A357E53" w:rsidR="00772C59" w:rsidRDefault="00772C59" w:rsidP="00772C59">
            <w:pPr>
              <w:tabs>
                <w:tab w:val="left" w:pos="0"/>
              </w:tabs>
              <w:contextualSpacing/>
              <w:jc w:val="both"/>
              <w:rPr>
                <w:rFonts w:ascii="Arial Nova" w:hAnsi="Arial Nova" w:cs="Times New Roman"/>
              </w:rPr>
            </w:pPr>
          </w:p>
          <w:p w14:paraId="2BC58F92" w14:textId="35ADEE27" w:rsidR="00AD1AE5" w:rsidRPr="00AD1AE5" w:rsidRDefault="00AD1AE5" w:rsidP="00AD1AE5">
            <w:pPr>
              <w:jc w:val="both"/>
              <w:rPr>
                <w:rFonts w:ascii="Arial Nova" w:eastAsia="Times New Roman" w:hAnsi="Arial Nova" w:cs="Times New Roman"/>
                <w:lang w:val="es-ES_tradnl" w:eastAsia="es-ES"/>
              </w:rPr>
            </w:pPr>
            <w:r>
              <w:rPr>
                <w:rFonts w:ascii="Arial Nova" w:eastAsia="Times New Roman" w:hAnsi="Arial Nova" w:cs="Times New Roman"/>
                <w:lang w:val="es-ES_tradnl" w:eastAsia="es-ES"/>
              </w:rPr>
              <w:t>Luego de ser sentenciado por el delito de enriquecimiento ilícito y haber quedado firme esa decisión, una persona solicitó que se</w:t>
            </w:r>
            <w:r w:rsidRPr="00AD1AE5">
              <w:rPr>
                <w:rFonts w:ascii="Arial Nova" w:eastAsia="Times New Roman" w:hAnsi="Arial Nova" w:cs="Times New Roman"/>
                <w:lang w:val="es-ES_tradnl" w:eastAsia="es-ES"/>
              </w:rPr>
              <w:t xml:space="preserve"> reconociera su inocencia. Sin embargo, se declaró infundado el reconocimiento.</w:t>
            </w:r>
          </w:p>
          <w:p w14:paraId="5521A0EA" w14:textId="77777777" w:rsidR="00AD1AE5" w:rsidRPr="00AD1AE5" w:rsidRDefault="00AD1AE5" w:rsidP="00AD1AE5">
            <w:pPr>
              <w:jc w:val="both"/>
              <w:rPr>
                <w:rFonts w:ascii="Arial Nova" w:eastAsia="Times New Roman" w:hAnsi="Arial Nova" w:cs="Times New Roman"/>
                <w:lang w:val="es-ES_tradnl" w:eastAsia="es-ES"/>
              </w:rPr>
            </w:pPr>
          </w:p>
          <w:p w14:paraId="191D88A0" w14:textId="02770880" w:rsidR="00AD1AE5" w:rsidRPr="00EE7AEC" w:rsidRDefault="00AD1AE5" w:rsidP="00AD1AE5">
            <w:pPr>
              <w:jc w:val="both"/>
              <w:rPr>
                <w:rFonts w:ascii="Arial Nova" w:eastAsia="Times New Roman" w:hAnsi="Arial Nova" w:cs="Times New Roman"/>
                <w:lang w:val="es-ES_tradnl" w:eastAsia="es-ES"/>
              </w:rPr>
            </w:pPr>
            <w:r w:rsidRPr="00AD1AE5">
              <w:rPr>
                <w:rFonts w:ascii="Arial Nova" w:eastAsia="Times New Roman" w:hAnsi="Arial Nova" w:cs="Times New Roman"/>
                <w:lang w:val="es-ES_tradnl" w:eastAsia="es-ES"/>
              </w:rPr>
              <w:t>En desacuerdo con la negativa anterior, el sentenciado promovió amparo indirecto en el que reclamó la inconstitucionalidad del artículo 486 del Código Nacional de Procedimientos Penales. El tribunal de amparo negó la protección constitucional. Inconforme, interpuso recurso de revisión.</w:t>
            </w:r>
          </w:p>
          <w:p w14:paraId="38C04335" w14:textId="42DF2996" w:rsidR="00292D64" w:rsidRDefault="00292D64" w:rsidP="00292D64">
            <w:pPr>
              <w:tabs>
                <w:tab w:val="left" w:pos="0"/>
              </w:tabs>
              <w:contextualSpacing/>
              <w:jc w:val="both"/>
              <w:rPr>
                <w:rFonts w:ascii="Arial Nova" w:eastAsia="Times New Roman" w:hAnsi="Arial Nova" w:cs="Times New Roman"/>
                <w:lang w:val="es-ES_tradnl" w:eastAsia="es-ES"/>
              </w:rPr>
            </w:pPr>
          </w:p>
          <w:p w14:paraId="21C7894B" w14:textId="77777777" w:rsidR="00744B18" w:rsidRPr="00744B18" w:rsidRDefault="00744B18" w:rsidP="00744B18">
            <w:pPr>
              <w:tabs>
                <w:tab w:val="left" w:pos="0"/>
              </w:tabs>
              <w:contextualSpacing/>
              <w:jc w:val="both"/>
              <w:rPr>
                <w:rFonts w:ascii="Arial Nova" w:hAnsi="Arial Nova" w:cs="Times New Roman"/>
              </w:rPr>
            </w:pPr>
            <w:r w:rsidRPr="00744B18">
              <w:rPr>
                <w:rFonts w:ascii="Arial Nova" w:hAnsi="Arial Nova" w:cs="Times New Roman"/>
              </w:rPr>
              <w:t>La Primera Sala reconoció la constitucionalidad del artículo 486 del Código Nacional de Procedimientos Penales, el cual dispone que el reconocimiento de inocencia procederá cuando después de dictada la sentencia aparezcan pruebas de las que se desprenda, en forma plena, que no existió el delito por el que se dictó la condena o que, existiendo éste, el sentenciado no participó en su comisión, o bien cuando se desacrediten formalmente, en sentencia irrevocable, las pruebas en las que se fundó la condena.</w:t>
            </w:r>
          </w:p>
          <w:p w14:paraId="7EEAC7B3" w14:textId="77777777" w:rsidR="00744B18" w:rsidRPr="00744B18" w:rsidRDefault="00744B18" w:rsidP="00744B18">
            <w:pPr>
              <w:tabs>
                <w:tab w:val="left" w:pos="0"/>
              </w:tabs>
              <w:contextualSpacing/>
              <w:jc w:val="both"/>
              <w:rPr>
                <w:rFonts w:ascii="Arial Nova" w:hAnsi="Arial Nova" w:cs="Times New Roman"/>
              </w:rPr>
            </w:pPr>
          </w:p>
          <w:p w14:paraId="1C693729" w14:textId="7A11676A" w:rsidR="00F8396A" w:rsidRDefault="00744B18" w:rsidP="00EE7AEC">
            <w:pPr>
              <w:tabs>
                <w:tab w:val="left" w:pos="0"/>
              </w:tabs>
              <w:contextualSpacing/>
              <w:jc w:val="both"/>
              <w:rPr>
                <w:rFonts w:ascii="Arial Nova" w:hAnsi="Arial Nova" w:cs="Times New Roman"/>
              </w:rPr>
            </w:pPr>
            <w:r w:rsidRPr="00744B18">
              <w:rPr>
                <w:rFonts w:ascii="Arial Nova" w:hAnsi="Arial Nova" w:cs="Times New Roman"/>
              </w:rPr>
              <w:t xml:space="preserve">En su fallo, el Alto Tribunal </w:t>
            </w:r>
            <w:r w:rsidR="00AD1AE5">
              <w:rPr>
                <w:rFonts w:ascii="Arial Nova" w:hAnsi="Arial Nova" w:cs="Times New Roman"/>
              </w:rPr>
              <w:t xml:space="preserve">reconoció la constitucionalidad del artículo reclamado, tras concluir que </w:t>
            </w:r>
            <w:r w:rsidR="00AD1AE5" w:rsidRPr="00AD1AE5">
              <w:rPr>
                <w:rFonts w:ascii="Arial Nova" w:hAnsi="Arial Nova" w:cs="Times New Roman"/>
              </w:rPr>
              <w:t xml:space="preserve">aplica </w:t>
            </w:r>
            <w:r w:rsidR="00112C47">
              <w:rPr>
                <w:rFonts w:ascii="Arial Nova" w:hAnsi="Arial Nova" w:cs="Times New Roman"/>
              </w:rPr>
              <w:t xml:space="preserve">sin distinción </w:t>
            </w:r>
            <w:r w:rsidR="00AD1AE5" w:rsidRPr="00AD1AE5">
              <w:rPr>
                <w:rFonts w:ascii="Arial Nova" w:hAnsi="Arial Nova" w:cs="Times New Roman"/>
              </w:rPr>
              <w:t>para todas las personas que hayan recibido una sentencia condenatoria y con posterioridad cuenten con pruebas que, a su consideración, pueden acreditar de forma plena su inocencia</w:t>
            </w:r>
            <w:r w:rsidRPr="00744B18">
              <w:rPr>
                <w:rFonts w:ascii="Arial Nova" w:hAnsi="Arial Nova" w:cs="Times New Roman"/>
              </w:rPr>
              <w:t>.</w:t>
            </w:r>
          </w:p>
          <w:p w14:paraId="2193FAD1" w14:textId="77777777" w:rsidR="00AD1AE5" w:rsidRDefault="00AD1AE5" w:rsidP="00EE7AEC">
            <w:pPr>
              <w:tabs>
                <w:tab w:val="left" w:pos="0"/>
              </w:tabs>
              <w:contextualSpacing/>
              <w:jc w:val="both"/>
              <w:rPr>
                <w:rFonts w:ascii="Arial Nova" w:hAnsi="Arial Nova" w:cs="Times New Roman"/>
              </w:rPr>
            </w:pPr>
          </w:p>
          <w:p w14:paraId="7635C3F4" w14:textId="713A25D7" w:rsidR="00AD1AE5" w:rsidRDefault="00AD1AE5" w:rsidP="00EE7AEC">
            <w:pPr>
              <w:tabs>
                <w:tab w:val="left" w:pos="0"/>
              </w:tabs>
              <w:contextualSpacing/>
              <w:jc w:val="both"/>
              <w:rPr>
                <w:rFonts w:ascii="Arial Nova" w:hAnsi="Arial Nova" w:cs="Times New Roman"/>
              </w:rPr>
            </w:pPr>
            <w:r>
              <w:rPr>
                <w:rFonts w:ascii="Arial Nova" w:hAnsi="Arial Nova" w:cs="Times New Roman"/>
              </w:rPr>
              <w:t xml:space="preserve">Asimismo, determinó que </w:t>
            </w:r>
            <w:r w:rsidR="00112C47">
              <w:rPr>
                <w:rFonts w:ascii="Arial Nova" w:hAnsi="Arial Nova" w:cs="Times New Roman"/>
              </w:rPr>
              <w:t xml:space="preserve">el artículo referido, </w:t>
            </w:r>
            <w:r w:rsidRPr="00AD1AE5">
              <w:rPr>
                <w:rFonts w:ascii="Arial Nova" w:hAnsi="Arial Nova" w:cs="Times New Roman"/>
              </w:rPr>
              <w:t>al imponer una limitante a las pruebas que puedan ser ofrecidas por el solicitante, esto es, que para la procedencia del reconocimiento de inocencia se requieren elementos de prueba que no hayan sido valorados en instancias ordinarias, no vulnera el debido proceso.</w:t>
            </w:r>
          </w:p>
          <w:p w14:paraId="6862BE70" w14:textId="77777777" w:rsidR="00AD1AE5" w:rsidRDefault="00AD1AE5" w:rsidP="00EE7AEC">
            <w:pPr>
              <w:tabs>
                <w:tab w:val="left" w:pos="0"/>
              </w:tabs>
              <w:contextualSpacing/>
              <w:jc w:val="both"/>
              <w:rPr>
                <w:rFonts w:ascii="Times New Roman" w:hAnsi="Times New Roman" w:cs="Times New Roman"/>
                <w:sz w:val="20"/>
                <w:szCs w:val="20"/>
              </w:rPr>
            </w:pPr>
          </w:p>
          <w:p w14:paraId="068A96B6" w14:textId="22215C6C" w:rsidR="00AD1AE5" w:rsidRPr="00650F1C" w:rsidRDefault="00AD1AE5" w:rsidP="00EE7AEC">
            <w:pPr>
              <w:tabs>
                <w:tab w:val="left" w:pos="0"/>
              </w:tabs>
              <w:contextualSpacing/>
              <w:jc w:val="both"/>
              <w:rPr>
                <w:rFonts w:ascii="Times New Roman" w:hAnsi="Times New Roman" w:cs="Times New Roman"/>
                <w:sz w:val="20"/>
                <w:szCs w:val="20"/>
              </w:rPr>
            </w:pPr>
          </w:p>
        </w:tc>
      </w:tr>
    </w:tbl>
    <w:p w14:paraId="5326086D" w14:textId="172DCB9A" w:rsidR="004A683D" w:rsidRDefault="004A683D" w:rsidP="0062067E">
      <w:pPr>
        <w:pStyle w:val="corte4fondo"/>
        <w:spacing w:line="240" w:lineRule="auto"/>
        <w:ind w:firstLine="0"/>
        <w:rPr>
          <w:rFonts w:ascii="Arial Nova" w:eastAsiaTheme="minorHAnsi" w:hAnsi="Arial Nova"/>
          <w:sz w:val="24"/>
          <w:szCs w:val="24"/>
          <w:lang w:val="es-MX" w:eastAsia="en-US"/>
        </w:rPr>
      </w:pPr>
    </w:p>
    <w:p w14:paraId="56B7A568" w14:textId="77777777" w:rsidR="00112C47" w:rsidRDefault="00112C47" w:rsidP="0062067E">
      <w:pPr>
        <w:pStyle w:val="corte4fondo"/>
        <w:spacing w:line="240" w:lineRule="auto"/>
        <w:ind w:firstLine="0"/>
        <w:rPr>
          <w:rFonts w:ascii="Arial Nova" w:eastAsiaTheme="minorHAnsi" w:hAnsi="Arial Nova"/>
          <w:sz w:val="24"/>
          <w:szCs w:val="24"/>
          <w:lang w:val="es-MX" w:eastAsia="en-US"/>
        </w:rPr>
      </w:pPr>
    </w:p>
    <w:p w14:paraId="3FED1CF7" w14:textId="77777777" w:rsidR="004A683D" w:rsidRPr="00642B2A" w:rsidRDefault="004A683D" w:rsidP="004A683D">
      <w:pPr>
        <w:shd w:val="clear" w:color="auto" w:fill="B4C6E7" w:themeFill="accent1" w:themeFillTint="66"/>
        <w:tabs>
          <w:tab w:val="right" w:pos="8838"/>
        </w:tabs>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1F2DED16" w14:textId="77777777" w:rsidR="004A683D" w:rsidRDefault="004A683D" w:rsidP="0062067E">
      <w:pPr>
        <w:pStyle w:val="corte4fondo"/>
        <w:spacing w:line="240" w:lineRule="auto"/>
        <w:ind w:firstLine="0"/>
        <w:rPr>
          <w:rFonts w:ascii="Arial Nova" w:eastAsiaTheme="minorHAnsi" w:hAnsi="Arial Nova"/>
          <w:sz w:val="24"/>
          <w:szCs w:val="24"/>
          <w:lang w:val="es-MX" w:eastAsia="en-US"/>
        </w:rPr>
      </w:pPr>
    </w:p>
    <w:p w14:paraId="23F45DE1" w14:textId="1885FFEE" w:rsidR="00744B18" w:rsidRDefault="00F8396A" w:rsidP="00744B18">
      <w:pPr>
        <w:spacing w:after="0" w:line="240" w:lineRule="auto"/>
        <w:jc w:val="both"/>
        <w:rPr>
          <w:rFonts w:ascii="Arial Nova" w:hAnsi="Arial Nova" w:cs="Times New Roman"/>
          <w:sz w:val="24"/>
          <w:szCs w:val="24"/>
        </w:rPr>
      </w:pPr>
      <w:r>
        <w:rPr>
          <w:rFonts w:ascii="Arial Nova" w:hAnsi="Arial Nova" w:cs="Times New Roman"/>
          <w:sz w:val="24"/>
          <w:szCs w:val="24"/>
        </w:rPr>
        <w:t>En el caso,</w:t>
      </w:r>
      <w:r w:rsidR="00232B46">
        <w:rPr>
          <w:rFonts w:ascii="Arial Nova" w:hAnsi="Arial Nova" w:cs="Times New Roman"/>
          <w:sz w:val="24"/>
          <w:szCs w:val="24"/>
        </w:rPr>
        <w:t xml:space="preserve"> </w:t>
      </w:r>
      <w:r w:rsidR="00744B18">
        <w:rPr>
          <w:rFonts w:ascii="Arial Nova" w:hAnsi="Arial Nova" w:cs="Times New Roman"/>
          <w:sz w:val="24"/>
          <w:szCs w:val="24"/>
        </w:rPr>
        <w:t>e</w:t>
      </w:r>
      <w:r w:rsidR="00744B18" w:rsidRPr="00744B18">
        <w:rPr>
          <w:rFonts w:ascii="Arial Nova" w:hAnsi="Arial Nova" w:cs="Times New Roman"/>
          <w:sz w:val="24"/>
          <w:szCs w:val="24"/>
        </w:rPr>
        <w:t xml:space="preserve">l Departamento de Justicia del gobierno de Estados Unidos de América inició una investigación a diversas empresas y personas físicas por actividades posiblemente relacionadas con actos de corrupción. La información que se obtuvo en dicha investigación reveló, entre otras cosas, la posible entrega de dinero a diversos servidores públicos de la Comisión Federal de Electricidad del gobierno mexicano, a fin de que favorecieran a algunas de las personas y empresas investigadas con el otorgamiento de contratos en que se adjudicaron licitaciones de proyectos de la paraestatal mexicana. </w:t>
      </w:r>
    </w:p>
    <w:p w14:paraId="299D1C6D" w14:textId="77777777" w:rsidR="00744B18" w:rsidRPr="00744B18" w:rsidRDefault="00744B18" w:rsidP="00744B18">
      <w:pPr>
        <w:spacing w:after="0" w:line="240" w:lineRule="auto"/>
        <w:jc w:val="both"/>
        <w:rPr>
          <w:rFonts w:ascii="Arial Nova" w:hAnsi="Arial Nova" w:cs="Times New Roman"/>
          <w:sz w:val="24"/>
          <w:szCs w:val="24"/>
        </w:rPr>
      </w:pPr>
    </w:p>
    <w:p w14:paraId="654E742B" w14:textId="3F706A31" w:rsidR="00744B18" w:rsidRDefault="00744B18" w:rsidP="00744B18">
      <w:pPr>
        <w:spacing w:after="0" w:line="240" w:lineRule="auto"/>
        <w:jc w:val="both"/>
        <w:rPr>
          <w:rFonts w:ascii="Arial Nova" w:hAnsi="Arial Nova" w:cs="Times New Roman"/>
          <w:sz w:val="24"/>
          <w:szCs w:val="24"/>
        </w:rPr>
      </w:pPr>
      <w:r w:rsidRPr="00744B18">
        <w:rPr>
          <w:rFonts w:ascii="Arial Nova" w:hAnsi="Arial Nova" w:cs="Times New Roman"/>
          <w:sz w:val="24"/>
          <w:szCs w:val="24"/>
        </w:rPr>
        <w:t xml:space="preserve">Por esos hechos, se dictó sentencia condenatoria </w:t>
      </w:r>
      <w:r w:rsidR="00AD1AE5">
        <w:rPr>
          <w:rFonts w:ascii="Arial Nova" w:hAnsi="Arial Nova" w:cs="Times New Roman"/>
          <w:sz w:val="24"/>
          <w:szCs w:val="24"/>
        </w:rPr>
        <w:t xml:space="preserve">al aquí quejoso, </w:t>
      </w:r>
      <w:r w:rsidRPr="00744B18">
        <w:rPr>
          <w:rFonts w:ascii="Arial Nova" w:hAnsi="Arial Nova" w:cs="Times New Roman"/>
          <w:sz w:val="24"/>
          <w:szCs w:val="24"/>
        </w:rPr>
        <w:t>por la comisión del delito de enriquecimiento ilícito</w:t>
      </w:r>
      <w:r w:rsidR="00AD1AE5">
        <w:rPr>
          <w:rFonts w:ascii="Arial Nova" w:hAnsi="Arial Nova" w:cs="Times New Roman"/>
          <w:sz w:val="24"/>
          <w:szCs w:val="24"/>
        </w:rPr>
        <w:t>. Esta decisión fue modificada en apelación aunque subsistió la condena</w:t>
      </w:r>
      <w:r w:rsidRPr="00744B18">
        <w:rPr>
          <w:rFonts w:ascii="Arial Nova" w:hAnsi="Arial Nova" w:cs="Times New Roman"/>
          <w:sz w:val="24"/>
          <w:szCs w:val="24"/>
        </w:rPr>
        <w:t>. Contra esa determinación</w:t>
      </w:r>
      <w:r w:rsidR="00AD1AE5">
        <w:rPr>
          <w:rFonts w:ascii="Arial Nova" w:hAnsi="Arial Nova" w:cs="Times New Roman"/>
          <w:sz w:val="24"/>
          <w:szCs w:val="24"/>
        </w:rPr>
        <w:t>, el imputado</w:t>
      </w:r>
      <w:r w:rsidRPr="00744B18">
        <w:rPr>
          <w:rFonts w:ascii="Arial Nova" w:hAnsi="Arial Nova" w:cs="Times New Roman"/>
          <w:sz w:val="24"/>
          <w:szCs w:val="24"/>
        </w:rPr>
        <w:t xml:space="preserve"> promovió juicio de amparo, que le fue negado.</w:t>
      </w:r>
    </w:p>
    <w:p w14:paraId="52EC37C1" w14:textId="77777777" w:rsidR="00744B18" w:rsidRPr="00744B18" w:rsidRDefault="00744B18" w:rsidP="00744B18">
      <w:pPr>
        <w:spacing w:after="0" w:line="240" w:lineRule="auto"/>
        <w:jc w:val="both"/>
        <w:rPr>
          <w:rFonts w:ascii="Arial Nova" w:hAnsi="Arial Nova" w:cs="Times New Roman"/>
          <w:sz w:val="24"/>
          <w:szCs w:val="24"/>
        </w:rPr>
      </w:pPr>
    </w:p>
    <w:p w14:paraId="0DCB7FA6" w14:textId="4DE29D79" w:rsidR="00744B18" w:rsidRDefault="00744B18" w:rsidP="00744B18">
      <w:pPr>
        <w:spacing w:after="0" w:line="240" w:lineRule="auto"/>
        <w:jc w:val="both"/>
        <w:rPr>
          <w:rFonts w:ascii="Arial Nova" w:hAnsi="Arial Nova" w:cs="Times New Roman"/>
          <w:sz w:val="24"/>
          <w:szCs w:val="24"/>
        </w:rPr>
      </w:pPr>
      <w:r w:rsidRPr="00744B18">
        <w:rPr>
          <w:rFonts w:ascii="Arial Nova" w:hAnsi="Arial Nova" w:cs="Times New Roman"/>
          <w:sz w:val="24"/>
          <w:szCs w:val="24"/>
        </w:rPr>
        <w:t>Luego</w:t>
      </w:r>
      <w:r w:rsidR="00EE7AEC">
        <w:rPr>
          <w:rFonts w:ascii="Arial Nova" w:hAnsi="Arial Nova" w:cs="Times New Roman"/>
          <w:sz w:val="24"/>
          <w:szCs w:val="24"/>
        </w:rPr>
        <w:t>, el quejoso</w:t>
      </w:r>
      <w:r w:rsidRPr="00744B18">
        <w:rPr>
          <w:rFonts w:ascii="Arial Nova" w:hAnsi="Arial Nova" w:cs="Times New Roman"/>
          <w:sz w:val="24"/>
          <w:szCs w:val="24"/>
        </w:rPr>
        <w:t xml:space="preserve"> solicitó que se reconociera su inocencia</w:t>
      </w:r>
      <w:r w:rsidR="00AD1AE5">
        <w:rPr>
          <w:rFonts w:ascii="Arial Nova" w:hAnsi="Arial Nova" w:cs="Times New Roman"/>
          <w:sz w:val="24"/>
          <w:szCs w:val="24"/>
        </w:rPr>
        <w:t>. Sin embargo,</w:t>
      </w:r>
      <w:r w:rsidRPr="00744B18">
        <w:rPr>
          <w:rFonts w:ascii="Arial Nova" w:hAnsi="Arial Nova" w:cs="Times New Roman"/>
          <w:sz w:val="24"/>
          <w:szCs w:val="24"/>
        </w:rPr>
        <w:t xml:space="preserve"> se declaró infundado el reconocimiento, porque para acreditar de manera contundente la inocencia del recurrente es necesario que las pruebas y documentos</w:t>
      </w:r>
      <w:r w:rsidR="00AD1AE5">
        <w:rPr>
          <w:rFonts w:ascii="Arial Nova" w:hAnsi="Arial Nova" w:cs="Times New Roman"/>
          <w:sz w:val="24"/>
          <w:szCs w:val="24"/>
        </w:rPr>
        <w:t>—</w:t>
      </w:r>
      <w:r w:rsidRPr="00744B18">
        <w:rPr>
          <w:rFonts w:ascii="Arial Nova" w:hAnsi="Arial Nova" w:cs="Times New Roman"/>
          <w:sz w:val="24"/>
          <w:szCs w:val="24"/>
        </w:rPr>
        <w:t>-sentencias</w:t>
      </w:r>
      <w:r w:rsidR="00AD1AE5">
        <w:rPr>
          <w:rFonts w:ascii="Arial Nova" w:hAnsi="Arial Nova" w:cs="Times New Roman"/>
          <w:sz w:val="24"/>
          <w:szCs w:val="24"/>
        </w:rPr>
        <w:t>—</w:t>
      </w:r>
      <w:r w:rsidRPr="00744B18">
        <w:rPr>
          <w:rFonts w:ascii="Arial Nova" w:hAnsi="Arial Nova" w:cs="Times New Roman"/>
          <w:sz w:val="24"/>
          <w:szCs w:val="24"/>
        </w:rPr>
        <w:t xml:space="preserve"> ofrecidos hayan sido desconocidas hasta el dictado de la sentencia y que sean distintas a las desahogadas y valoradas en su oportunidad en las diversas instancias procesales y, además, invalidar las que sirvieron para su dictado, para que nazca la exigibilidad de hacer cesar los efectos del fallo de condenatoria.</w:t>
      </w:r>
    </w:p>
    <w:p w14:paraId="373230DB" w14:textId="77777777" w:rsidR="00744B18" w:rsidRPr="00744B18" w:rsidRDefault="00744B18" w:rsidP="00744B18">
      <w:pPr>
        <w:spacing w:after="0" w:line="240" w:lineRule="auto"/>
        <w:jc w:val="both"/>
        <w:rPr>
          <w:rFonts w:ascii="Arial Nova" w:hAnsi="Arial Nova" w:cs="Times New Roman"/>
          <w:sz w:val="24"/>
          <w:szCs w:val="24"/>
        </w:rPr>
      </w:pPr>
    </w:p>
    <w:p w14:paraId="7F5611C3" w14:textId="09C00DA4" w:rsidR="00744B18" w:rsidRPr="00D10B61" w:rsidRDefault="00AD1AE5" w:rsidP="00744B18">
      <w:pPr>
        <w:spacing w:after="0" w:line="240" w:lineRule="auto"/>
        <w:jc w:val="both"/>
        <w:rPr>
          <w:rFonts w:ascii="Arial Nova" w:hAnsi="Arial Nova" w:cs="Times New Roman"/>
          <w:sz w:val="24"/>
          <w:szCs w:val="24"/>
        </w:rPr>
      </w:pPr>
      <w:r>
        <w:rPr>
          <w:rFonts w:ascii="Arial Nova" w:hAnsi="Arial Nova" w:cs="Times New Roman"/>
          <w:sz w:val="24"/>
          <w:szCs w:val="24"/>
        </w:rPr>
        <w:t>En desacuerdo con la negativa anterior</w:t>
      </w:r>
      <w:r w:rsidR="00744B18" w:rsidRPr="00744B18">
        <w:rPr>
          <w:rFonts w:ascii="Arial Nova" w:hAnsi="Arial Nova" w:cs="Times New Roman"/>
          <w:sz w:val="24"/>
          <w:szCs w:val="24"/>
        </w:rPr>
        <w:t xml:space="preserve">, </w:t>
      </w:r>
      <w:r>
        <w:rPr>
          <w:rFonts w:ascii="Arial Nova" w:hAnsi="Arial Nova" w:cs="Times New Roman"/>
          <w:sz w:val="24"/>
          <w:szCs w:val="24"/>
        </w:rPr>
        <w:t xml:space="preserve">el sentenciado </w:t>
      </w:r>
      <w:r w:rsidR="00744B18" w:rsidRPr="00744B18">
        <w:rPr>
          <w:rFonts w:ascii="Arial Nova" w:hAnsi="Arial Nova" w:cs="Times New Roman"/>
          <w:sz w:val="24"/>
          <w:szCs w:val="24"/>
        </w:rPr>
        <w:t>promovió amparo indirecto en el que reclamó la inconstitucionalidad del artículo 486 del Código Nacional de Procedimientos Penales. El tribunal de amparo negó la protección constitucional. Inconforme, interpuso recurso de revisión</w:t>
      </w:r>
      <w:r w:rsidR="00EE7AEC">
        <w:rPr>
          <w:rFonts w:ascii="Arial Nova" w:hAnsi="Arial Nova" w:cs="Times New Roman"/>
          <w:sz w:val="24"/>
          <w:szCs w:val="24"/>
        </w:rPr>
        <w:t>.</w:t>
      </w:r>
    </w:p>
    <w:p w14:paraId="7F49BEA6" w14:textId="77777777" w:rsidR="00D10B61" w:rsidRPr="00CB39A4" w:rsidRDefault="00D10B61" w:rsidP="00CB39A4">
      <w:pPr>
        <w:pStyle w:val="corte4fondo"/>
        <w:spacing w:line="240" w:lineRule="auto"/>
        <w:ind w:firstLine="0"/>
        <w:rPr>
          <w:rFonts w:ascii="Arial Nova" w:eastAsiaTheme="minorHAnsi" w:hAnsi="Arial Nova"/>
          <w:sz w:val="24"/>
          <w:szCs w:val="24"/>
          <w:lang w:val="es-MX" w:eastAsia="en-US"/>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706D04">
        <w:rPr>
          <w:rFonts w:ascii="Arial Nova" w:hAnsi="Arial Nova" w:cs="Times New Roman"/>
          <w:b/>
          <w:bCs/>
          <w:smallCaps/>
          <w:color w:val="000F2E"/>
          <w:sz w:val="28"/>
          <w:szCs w:val="28"/>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6F465C30" w14:textId="77777777" w:rsidR="004674D6" w:rsidRDefault="004674D6" w:rsidP="004674D6">
      <w:pPr>
        <w:spacing w:after="0" w:line="240" w:lineRule="auto"/>
        <w:jc w:val="both"/>
        <w:rPr>
          <w:rFonts w:ascii="Arial" w:hAnsi="Arial" w:cs="Arial"/>
          <w:sz w:val="24"/>
          <w:szCs w:val="24"/>
        </w:rPr>
      </w:pPr>
    </w:p>
    <w:p w14:paraId="1552AC16" w14:textId="061F6927" w:rsidR="00744B18" w:rsidRPr="00744B18" w:rsidRDefault="00744B18" w:rsidP="00744B18">
      <w:pPr>
        <w:tabs>
          <w:tab w:val="left" w:pos="0"/>
        </w:tabs>
        <w:spacing w:line="240" w:lineRule="auto"/>
        <w:contextualSpacing/>
        <w:jc w:val="both"/>
        <w:rPr>
          <w:rFonts w:ascii="Arial Nova" w:hAnsi="Arial Nova" w:cs="Times New Roman"/>
          <w:sz w:val="24"/>
          <w:szCs w:val="24"/>
        </w:rPr>
      </w:pPr>
      <w:r w:rsidRPr="00744B18">
        <w:rPr>
          <w:rFonts w:ascii="Arial Nova" w:hAnsi="Arial Nova" w:cs="Times New Roman"/>
          <w:sz w:val="24"/>
          <w:szCs w:val="24"/>
        </w:rPr>
        <w:t>La Primera Sala reconoció la constitucionalidad del artículo 486 del Código Nacional de Procedimientos Penales, el cual dispone que el reconocimiento de inocencia procederá cuando después de dictada la sentencia aparezcan pruebas de las que se desprenda, en forma plena, que no existió el delito por el que se dictó la condena o que, existiendo éste, el sentenciado no participó en su comisión, o bien cuando se desacrediten formalmente, en sentencia irrevocable, las pruebas en las que se fundó la condena.</w:t>
      </w:r>
    </w:p>
    <w:p w14:paraId="1FA095FF"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p>
    <w:p w14:paraId="6EA70E7B"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r w:rsidRPr="00744B18">
        <w:rPr>
          <w:rFonts w:ascii="Arial Nova" w:hAnsi="Arial Nova" w:cs="Times New Roman"/>
          <w:sz w:val="24"/>
          <w:szCs w:val="24"/>
        </w:rPr>
        <w:t xml:space="preserve">En su fallo, el Alto Tribunal deliberó que el artículo 486 citado no utiliza un criterio de distinción referido al origen étnico o nacional, el género, la edad, la religión, el estado civil o cualquier otra que eluda a una categoría de personas que compartan </w:t>
      </w:r>
      <w:r w:rsidRPr="00744B18">
        <w:rPr>
          <w:rFonts w:ascii="Arial Nova" w:hAnsi="Arial Nova" w:cs="Times New Roman"/>
          <w:sz w:val="24"/>
          <w:szCs w:val="24"/>
        </w:rPr>
        <w:lastRenderedPageBreak/>
        <w:t>o hayan compartido históricamente una condición de exclusión, ni se articula a elementos que atenten contra la dignidad humana o tengan por objeto trastocar derechos o libertades de las personas.</w:t>
      </w:r>
    </w:p>
    <w:p w14:paraId="19E38364"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p>
    <w:p w14:paraId="48344CCC"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r w:rsidRPr="00744B18">
        <w:rPr>
          <w:rFonts w:ascii="Arial Nova" w:hAnsi="Arial Nova" w:cs="Times New Roman"/>
          <w:sz w:val="24"/>
          <w:szCs w:val="24"/>
        </w:rPr>
        <w:t xml:space="preserve">En cambio, la norma aludida es aplicable por igual a todas las personas que hayan sido condenadas mediante sentencia ejecutoriada, quienes no constituyen un grupo, sociológicamente hablando, equiparable a los referidos anteriormente, ni tampoco atiende a una categorización que atente contra la dignidad humana o tenga por objeto anular o menoscabar sus libertades. </w:t>
      </w:r>
    </w:p>
    <w:p w14:paraId="1973142A"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p>
    <w:p w14:paraId="6ED951DE"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r w:rsidRPr="00744B18">
        <w:rPr>
          <w:rFonts w:ascii="Arial Nova" w:hAnsi="Arial Nova" w:cs="Times New Roman"/>
          <w:sz w:val="24"/>
          <w:szCs w:val="24"/>
        </w:rPr>
        <w:t>Se trata, entonces, de una disposición que se aplica a todas las personas que hayan llevado un proceso judicial en su contra, cuenten con una sentencia que los condene y, a su juicio, estimen que existen pruebas de las que se desprendan, en forma plena, que no existió el delito por el que se les dictó la sentencia o que, existiendo éste, el sentenciado no participó en su comisión.</w:t>
      </w:r>
    </w:p>
    <w:p w14:paraId="22269DD9"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p>
    <w:p w14:paraId="3E824C66"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r w:rsidRPr="00744B18">
        <w:rPr>
          <w:rFonts w:ascii="Arial Nova" w:hAnsi="Arial Nova" w:cs="Times New Roman"/>
          <w:sz w:val="24"/>
          <w:szCs w:val="24"/>
        </w:rPr>
        <w:t>Por tanto, cuando en el artículo en estudio se establece que el reconocimiento de inocencia procede “después de dictada la sentencia”, no tiene por objeto realizar una distinción entre diversos tipos de personas sentenciadas, sino que ello obedece a una finalidad objetiva y constitucionalmente válida, consistente en salvaguardar la seguridad jurídica de las personas.</w:t>
      </w:r>
    </w:p>
    <w:p w14:paraId="27B9B23C"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p>
    <w:p w14:paraId="19F75EB9"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r w:rsidRPr="00744B18">
        <w:rPr>
          <w:rFonts w:ascii="Arial Nova" w:hAnsi="Arial Nova" w:cs="Times New Roman"/>
          <w:sz w:val="24"/>
          <w:szCs w:val="24"/>
        </w:rPr>
        <w:t>Ello, pues el reconocimiento de inocencia no tiene por objeto abrir otra instancia para que se valoren nuevamente los elementos probatorios ya apreciados en instancias ordinarias, sino la anulación de los que fundaron la sentencia condenatoria conforme a la aparición posterior, de datos comprobables que desvirtúen los medios de prueba que sirvieron de sustento y fundamento para orientar el sentido del fallo de condena, para con ello corregir verdaderas injusticias cometidas por el juzgador penal, cuando habiendo condenado a una persona, posteriormente se demostrara de manera fehaciente e indubitable que es inocente.</w:t>
      </w:r>
    </w:p>
    <w:p w14:paraId="41F99827"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p>
    <w:p w14:paraId="1F4EEBCF"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r w:rsidRPr="00744B18">
        <w:rPr>
          <w:rFonts w:ascii="Arial Nova" w:hAnsi="Arial Nova" w:cs="Times New Roman"/>
          <w:sz w:val="24"/>
          <w:szCs w:val="24"/>
        </w:rPr>
        <w:t>De esta manera, la Sala concluyó que el numeral 486 del Código Nacional de Procedimientos Penales no realiza distinción alguna, sino que contempla una directriz a la persona sentenciada al obligarlo a demostrar su inocencia, una vez que se ha dictado un fallo de condena en su contra, lo que busca salvaguardar la seguridad jurídica de las personas. Estimarlo de otro modo, significaría convertir dicha figura jurídica en un medio más para corregir una imprecisión o una deficiencia técnica de la sentencia.</w:t>
      </w:r>
    </w:p>
    <w:p w14:paraId="31B91D4C"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p>
    <w:p w14:paraId="25A5AFD2"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r w:rsidRPr="00744B18">
        <w:rPr>
          <w:rFonts w:ascii="Arial Nova" w:hAnsi="Arial Nova" w:cs="Times New Roman"/>
          <w:sz w:val="24"/>
          <w:szCs w:val="24"/>
        </w:rPr>
        <w:t xml:space="preserve">En otro aspecto, la Sala determinó que el artículo 486 aludido, al imponer una limitante a las pruebas que puedan ser ofrecidas por el solicitante, esto es, que para </w:t>
      </w:r>
      <w:r w:rsidRPr="00744B18">
        <w:rPr>
          <w:rFonts w:ascii="Arial Nova" w:hAnsi="Arial Nova" w:cs="Times New Roman"/>
          <w:sz w:val="24"/>
          <w:szCs w:val="24"/>
        </w:rPr>
        <w:lastRenderedPageBreak/>
        <w:t>la procedencia del reconocimiento de inocencia se requieren elementos de prueba que no hayan sido valorados en instancias ordinarias, no vulnera el debido proceso.</w:t>
      </w:r>
    </w:p>
    <w:p w14:paraId="6056E281"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p>
    <w:p w14:paraId="003C5931" w14:textId="27D80886" w:rsidR="00744B18" w:rsidRPr="00744B18" w:rsidRDefault="00112C47" w:rsidP="00744B18">
      <w:pPr>
        <w:tabs>
          <w:tab w:val="left" w:pos="0"/>
        </w:tabs>
        <w:spacing w:line="240" w:lineRule="auto"/>
        <w:contextualSpacing/>
        <w:jc w:val="both"/>
        <w:rPr>
          <w:rFonts w:ascii="Arial Nova" w:hAnsi="Arial Nova" w:cs="Times New Roman"/>
          <w:sz w:val="24"/>
          <w:szCs w:val="24"/>
        </w:rPr>
      </w:pPr>
      <w:r>
        <w:rPr>
          <w:rFonts w:ascii="Arial Nova" w:hAnsi="Arial Nova" w:cs="Times New Roman"/>
          <w:sz w:val="24"/>
          <w:szCs w:val="24"/>
        </w:rPr>
        <w:t>Esto</w:t>
      </w:r>
      <w:r w:rsidR="00744B18" w:rsidRPr="00744B18">
        <w:rPr>
          <w:rFonts w:ascii="Arial Nova" w:hAnsi="Arial Nova" w:cs="Times New Roman"/>
          <w:sz w:val="24"/>
          <w:szCs w:val="24"/>
        </w:rPr>
        <w:t>, toda vez que el reconocimiento de inocencia exige la aparición de datos novedosos que hagan cesar en sus efectos las diversas pruebas en las que se sustentó la sentencia de condena. Aspecto que dota de sentido la naturaleza extraordinaria y excepcional de esa figura jurídica, bajo el cual descansa el principio de seguridad jurídica, por lo que esa limitante es una condición necesaria e indispensable para su tramitación y resolución.</w:t>
      </w:r>
    </w:p>
    <w:p w14:paraId="2636569D"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p>
    <w:p w14:paraId="0DA58627"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r w:rsidRPr="00744B18">
        <w:rPr>
          <w:rFonts w:ascii="Arial Nova" w:hAnsi="Arial Nova" w:cs="Times New Roman"/>
          <w:sz w:val="24"/>
          <w:szCs w:val="24"/>
        </w:rPr>
        <w:t>Así, la valoración racional, libre y lógica de los elementos de prueba que surgen con posterioridad a la sentencia condenatoria constituye el fundamento y razón esencial de la figura analizada, los que una vez desahogados y valorados por el órgano competente podrán demostrar, en forma plena, que no existió el delito por el que se le dictó condena o que, existiendo éste, el sentenciado no participó en su comisión, o bien, que los mismos desacrediten formalmente, en sentencia irrevocable, las pruebas en las que se fundó la de condena.</w:t>
      </w:r>
    </w:p>
    <w:p w14:paraId="2218421D"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p>
    <w:p w14:paraId="17AD1201" w14:textId="77777777" w:rsidR="00744B18" w:rsidRPr="00744B18" w:rsidRDefault="00744B18" w:rsidP="00744B18">
      <w:pPr>
        <w:tabs>
          <w:tab w:val="left" w:pos="0"/>
        </w:tabs>
        <w:spacing w:line="240" w:lineRule="auto"/>
        <w:contextualSpacing/>
        <w:jc w:val="both"/>
        <w:rPr>
          <w:rFonts w:ascii="Arial Nova" w:hAnsi="Arial Nova" w:cs="Times New Roman"/>
          <w:sz w:val="24"/>
          <w:szCs w:val="24"/>
        </w:rPr>
      </w:pPr>
      <w:r w:rsidRPr="00744B18">
        <w:rPr>
          <w:rFonts w:ascii="Arial Nova" w:hAnsi="Arial Nova" w:cs="Times New Roman"/>
          <w:sz w:val="24"/>
          <w:szCs w:val="24"/>
        </w:rPr>
        <w:t>Considerar lo contrario, permitiría que cualquier elemento de prueba desahogado a través de la promoción del reconocimiento de inocencia tuviera el alcance de ser considerado o no como causa suficiente para desvirtuar la naturaleza de cosa juzgada de las sentencias condenatorias.</w:t>
      </w:r>
    </w:p>
    <w:p w14:paraId="42568A19" w14:textId="77777777" w:rsidR="00292D64" w:rsidRDefault="00292D64" w:rsidP="00292D64">
      <w:pPr>
        <w:tabs>
          <w:tab w:val="left" w:pos="0"/>
        </w:tabs>
        <w:spacing w:line="240" w:lineRule="auto"/>
        <w:contextualSpacing/>
        <w:jc w:val="both"/>
        <w:rPr>
          <w:rFonts w:ascii="Arial" w:hAnsi="Arial" w:cs="Arial"/>
          <w:sz w:val="24"/>
          <w:szCs w:val="24"/>
        </w:rPr>
      </w:pPr>
    </w:p>
    <w:p w14:paraId="1834BF3B" w14:textId="437AB88B" w:rsidR="00B5500F" w:rsidRPr="00B5500F" w:rsidRDefault="00B5500F" w:rsidP="004B04BC">
      <w:pPr>
        <w:spacing w:after="0" w:line="240" w:lineRule="auto"/>
        <w:jc w:val="both"/>
        <w:rPr>
          <w:rFonts w:ascii="Arial Nova" w:hAnsi="Arial Nova" w:cs="Times New Roman"/>
          <w:sz w:val="24"/>
          <w:szCs w:val="24"/>
        </w:rPr>
      </w:pPr>
    </w:p>
    <w:p w14:paraId="6555BF86" w14:textId="1156A01D"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5CD82B45" w14:textId="0ADC0FCE" w:rsidR="004A683D"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CB3456">
        <w:rPr>
          <w:rFonts w:ascii="Arial Nova" w:hAnsi="Arial Nova" w:cs="Times New Roman"/>
          <w:sz w:val="24"/>
          <w:szCs w:val="24"/>
        </w:rPr>
        <w:t xml:space="preserve">26 </w:t>
      </w:r>
      <w:r w:rsidR="00F60994">
        <w:rPr>
          <w:rFonts w:ascii="Arial Nova" w:hAnsi="Arial Nova" w:cs="Times New Roman"/>
          <w:sz w:val="24"/>
          <w:szCs w:val="24"/>
        </w:rPr>
        <w:t xml:space="preserve">de junio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4A683D">
        <w:rPr>
          <w:rFonts w:ascii="Arial Nova" w:hAnsi="Arial Nova" w:cs="Times New Roman"/>
          <w:sz w:val="24"/>
          <w:szCs w:val="24"/>
        </w:rPr>
        <w:t>unanimidad de cinco votos</w:t>
      </w:r>
      <w:r w:rsidR="00232B46">
        <w:rPr>
          <w:rFonts w:ascii="Arial Nova" w:hAnsi="Arial Nova" w:cs="Times New Roman"/>
          <w:sz w:val="24"/>
          <w:szCs w:val="24"/>
        </w:rPr>
        <w:t xml:space="preserve"> de las Señoras Ministras Ana Margarita Ríos Farjat y Loretta Ortiz Ahlf, así como de los Señores Ministros Juan Luis González Alcántara Carrancá, Alfredo Gutiérrez Ortiz Mena y Jorge Mario Pardo Rebolledo (Presidente</w:t>
      </w:r>
      <w:r w:rsidR="00292D64">
        <w:rPr>
          <w:rFonts w:ascii="Arial Nova" w:hAnsi="Arial Nova" w:cs="Times New Roman"/>
          <w:sz w:val="24"/>
          <w:szCs w:val="24"/>
        </w:rPr>
        <w:t>)</w:t>
      </w:r>
      <w:r w:rsidR="002A072A" w:rsidRPr="002A072A">
        <w:rPr>
          <w:rFonts w:ascii="Arial Nova" w:hAnsi="Arial Nova" w:cs="Times New Roman"/>
          <w:sz w:val="24"/>
          <w:szCs w:val="24"/>
        </w:rPr>
        <w:t>, quien está con el sentido, pero se separa de los párrafos setenta y ocho a noventa y uno</w:t>
      </w:r>
      <w:r w:rsidR="00292D64">
        <w:rPr>
          <w:rFonts w:ascii="Arial Nova" w:hAnsi="Arial Nova" w:cs="Times New Roman"/>
          <w:sz w:val="24"/>
          <w:szCs w:val="24"/>
        </w:rPr>
        <w:t>.</w:t>
      </w:r>
    </w:p>
    <w:p w14:paraId="5425BB47" w14:textId="77777777" w:rsidR="004A683D" w:rsidRDefault="004A683D" w:rsidP="005651E4">
      <w:pPr>
        <w:spacing w:after="0" w:line="240" w:lineRule="auto"/>
        <w:jc w:val="both"/>
        <w:rPr>
          <w:rFonts w:ascii="Arial Nova" w:hAnsi="Arial Nova" w:cs="Times New Roman"/>
          <w:sz w:val="24"/>
          <w:szCs w:val="24"/>
        </w:rPr>
      </w:pPr>
    </w:p>
    <w:p w14:paraId="6473CBC9" w14:textId="77777777" w:rsidR="004A683D" w:rsidRDefault="004A683D"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8107E" w14:textId="77777777" w:rsidR="00CB4FB6" w:rsidRDefault="00CB4FB6" w:rsidP="000A7E7B">
      <w:pPr>
        <w:spacing w:after="0" w:line="240" w:lineRule="auto"/>
      </w:pPr>
      <w:r>
        <w:separator/>
      </w:r>
    </w:p>
    <w:p w14:paraId="434D9607" w14:textId="77777777" w:rsidR="00CB4FB6" w:rsidRDefault="00CB4FB6"/>
  </w:endnote>
  <w:endnote w:type="continuationSeparator" w:id="0">
    <w:p w14:paraId="092892F3" w14:textId="77777777" w:rsidR="00CB4FB6" w:rsidRDefault="00CB4FB6" w:rsidP="000A7E7B">
      <w:pPr>
        <w:spacing w:after="0" w:line="240" w:lineRule="auto"/>
      </w:pPr>
      <w:r>
        <w:continuationSeparator/>
      </w:r>
    </w:p>
    <w:p w14:paraId="749A29D9" w14:textId="77777777" w:rsidR="00CB4FB6" w:rsidRDefault="00CB4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D0394" w14:textId="77777777" w:rsidR="00CB4FB6" w:rsidRDefault="00CB4FB6" w:rsidP="000A7E7B">
      <w:pPr>
        <w:spacing w:after="0" w:line="240" w:lineRule="auto"/>
      </w:pPr>
      <w:r>
        <w:separator/>
      </w:r>
    </w:p>
    <w:p w14:paraId="1E9F0F66" w14:textId="77777777" w:rsidR="00CB4FB6" w:rsidRDefault="00CB4FB6"/>
  </w:footnote>
  <w:footnote w:type="continuationSeparator" w:id="0">
    <w:p w14:paraId="452B0BC5" w14:textId="77777777" w:rsidR="00CB4FB6" w:rsidRDefault="00CB4FB6" w:rsidP="000A7E7B">
      <w:pPr>
        <w:spacing w:after="0" w:line="240" w:lineRule="auto"/>
      </w:pPr>
      <w:r>
        <w:continuationSeparator/>
      </w:r>
    </w:p>
    <w:p w14:paraId="1F6F5378" w14:textId="77777777" w:rsidR="00CB4FB6" w:rsidRDefault="00CB4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4B43ECC" w:rsidR="0048582B" w:rsidRPr="00046D48" w:rsidRDefault="0048582B" w:rsidP="004B04BC">
    <w:pPr>
      <w:pStyle w:val="Encabezado"/>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4A683D">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744B18">
      <w:rPr>
        <w:rFonts w:ascii="Arial Nova" w:hAnsi="Arial Nova" w:cs="Times New Roman"/>
        <w:b/>
        <w:bCs/>
        <w:color w:val="002060"/>
        <w:sz w:val="20"/>
        <w:szCs w:val="20"/>
      </w:rPr>
      <w:t>657</w:t>
    </w:r>
    <w:r w:rsidR="00C6695A">
      <w:rPr>
        <w:rFonts w:ascii="Arial Nova" w:hAnsi="Arial Nova" w:cs="Times New Roman"/>
        <w:b/>
        <w:bCs/>
        <w:color w:val="002060"/>
        <w:sz w:val="20"/>
        <w:szCs w:val="20"/>
      </w:rPr>
      <w:t>/</w:t>
    </w:r>
    <w:r w:rsidRPr="00046D48">
      <w:rPr>
        <w:rFonts w:ascii="Arial Nova" w:hAnsi="Arial Nova" w:cs="Times New Roman"/>
        <w:b/>
        <w:bCs/>
        <w:color w:val="002060"/>
        <w:sz w:val="20"/>
        <w:szCs w:val="20"/>
      </w:rPr>
      <w:t>20</w:t>
    </w:r>
    <w:r w:rsidR="00D645FE">
      <w:rPr>
        <w:rFonts w:ascii="Arial Nova" w:hAnsi="Arial Nova" w:cs="Times New Roman"/>
        <w:b/>
        <w:bCs/>
        <w:color w:val="002060"/>
        <w:sz w:val="20"/>
        <w:szCs w:val="20"/>
      </w:rPr>
      <w:t>2</w:t>
    </w:r>
    <w:r w:rsidR="00A54C77">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72DF"/>
    <w:multiLevelType w:val="hybridMultilevel"/>
    <w:tmpl w:val="68805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1188107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3C18"/>
    <w:rsid w:val="000B569F"/>
    <w:rsid w:val="000C3CBD"/>
    <w:rsid w:val="000D1A12"/>
    <w:rsid w:val="000D2EBD"/>
    <w:rsid w:val="000D4803"/>
    <w:rsid w:val="000D5F59"/>
    <w:rsid w:val="000E0245"/>
    <w:rsid w:val="000E0C6A"/>
    <w:rsid w:val="000E3651"/>
    <w:rsid w:val="000E64E7"/>
    <w:rsid w:val="000F00C8"/>
    <w:rsid w:val="000F495F"/>
    <w:rsid w:val="00100C8F"/>
    <w:rsid w:val="00101718"/>
    <w:rsid w:val="001058A3"/>
    <w:rsid w:val="00111977"/>
    <w:rsid w:val="00112C4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66D5A"/>
    <w:rsid w:val="001724BA"/>
    <w:rsid w:val="00176353"/>
    <w:rsid w:val="00176FF3"/>
    <w:rsid w:val="00177692"/>
    <w:rsid w:val="0018629A"/>
    <w:rsid w:val="00190BB8"/>
    <w:rsid w:val="00193595"/>
    <w:rsid w:val="001936AC"/>
    <w:rsid w:val="001949FA"/>
    <w:rsid w:val="00197921"/>
    <w:rsid w:val="001A0621"/>
    <w:rsid w:val="001A2010"/>
    <w:rsid w:val="001A49C7"/>
    <w:rsid w:val="001A59DF"/>
    <w:rsid w:val="001A67C7"/>
    <w:rsid w:val="001A7541"/>
    <w:rsid w:val="001C01EC"/>
    <w:rsid w:val="001C0F20"/>
    <w:rsid w:val="001C2010"/>
    <w:rsid w:val="001C63EB"/>
    <w:rsid w:val="001D024D"/>
    <w:rsid w:val="001D13B2"/>
    <w:rsid w:val="001D21EB"/>
    <w:rsid w:val="001D4B75"/>
    <w:rsid w:val="001D5AB2"/>
    <w:rsid w:val="001D6C80"/>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A31"/>
    <w:rsid w:val="00212E34"/>
    <w:rsid w:val="002134A3"/>
    <w:rsid w:val="00215E7E"/>
    <w:rsid w:val="00217872"/>
    <w:rsid w:val="002253EA"/>
    <w:rsid w:val="00225959"/>
    <w:rsid w:val="00226176"/>
    <w:rsid w:val="00226830"/>
    <w:rsid w:val="00227105"/>
    <w:rsid w:val="0023060C"/>
    <w:rsid w:val="00232B46"/>
    <w:rsid w:val="0023754B"/>
    <w:rsid w:val="002376B7"/>
    <w:rsid w:val="00241663"/>
    <w:rsid w:val="0024330C"/>
    <w:rsid w:val="00244FC7"/>
    <w:rsid w:val="002502AE"/>
    <w:rsid w:val="00252246"/>
    <w:rsid w:val="00252CBA"/>
    <w:rsid w:val="00252F5F"/>
    <w:rsid w:val="00253A10"/>
    <w:rsid w:val="00253B7E"/>
    <w:rsid w:val="00253BAC"/>
    <w:rsid w:val="00254D5B"/>
    <w:rsid w:val="002550E6"/>
    <w:rsid w:val="00255622"/>
    <w:rsid w:val="0025579D"/>
    <w:rsid w:val="00256A99"/>
    <w:rsid w:val="0025754D"/>
    <w:rsid w:val="00261987"/>
    <w:rsid w:val="0026783A"/>
    <w:rsid w:val="00275EB5"/>
    <w:rsid w:val="00275F4F"/>
    <w:rsid w:val="00283A9B"/>
    <w:rsid w:val="002901D6"/>
    <w:rsid w:val="00291AB0"/>
    <w:rsid w:val="00292788"/>
    <w:rsid w:val="00292D64"/>
    <w:rsid w:val="00296126"/>
    <w:rsid w:val="0029700B"/>
    <w:rsid w:val="002A072A"/>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6697"/>
    <w:rsid w:val="00381112"/>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251A9"/>
    <w:rsid w:val="00435177"/>
    <w:rsid w:val="0044166C"/>
    <w:rsid w:val="00447670"/>
    <w:rsid w:val="0044784E"/>
    <w:rsid w:val="004479A5"/>
    <w:rsid w:val="00447D23"/>
    <w:rsid w:val="00450AFE"/>
    <w:rsid w:val="004518CB"/>
    <w:rsid w:val="00452C04"/>
    <w:rsid w:val="00460D1E"/>
    <w:rsid w:val="0046660B"/>
    <w:rsid w:val="004674D6"/>
    <w:rsid w:val="00467C3B"/>
    <w:rsid w:val="004716A3"/>
    <w:rsid w:val="004723D9"/>
    <w:rsid w:val="004737F5"/>
    <w:rsid w:val="00476867"/>
    <w:rsid w:val="004835A9"/>
    <w:rsid w:val="00484742"/>
    <w:rsid w:val="004855FE"/>
    <w:rsid w:val="0048582B"/>
    <w:rsid w:val="00486D91"/>
    <w:rsid w:val="00492458"/>
    <w:rsid w:val="00492E22"/>
    <w:rsid w:val="004A3113"/>
    <w:rsid w:val="004A515E"/>
    <w:rsid w:val="004A683D"/>
    <w:rsid w:val="004B04BC"/>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0ADF"/>
    <w:rsid w:val="004F29E0"/>
    <w:rsid w:val="00504C12"/>
    <w:rsid w:val="005103BD"/>
    <w:rsid w:val="00510D4F"/>
    <w:rsid w:val="0051268B"/>
    <w:rsid w:val="005131ED"/>
    <w:rsid w:val="00523C76"/>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2096"/>
    <w:rsid w:val="005F33A7"/>
    <w:rsid w:val="005F6321"/>
    <w:rsid w:val="005F668F"/>
    <w:rsid w:val="005F6734"/>
    <w:rsid w:val="00601D71"/>
    <w:rsid w:val="006126BA"/>
    <w:rsid w:val="006146C9"/>
    <w:rsid w:val="0062067E"/>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86395"/>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D04"/>
    <w:rsid w:val="00706E67"/>
    <w:rsid w:val="00707354"/>
    <w:rsid w:val="00707953"/>
    <w:rsid w:val="00715D38"/>
    <w:rsid w:val="007205CE"/>
    <w:rsid w:val="0072107B"/>
    <w:rsid w:val="00725DED"/>
    <w:rsid w:val="007307A1"/>
    <w:rsid w:val="00731840"/>
    <w:rsid w:val="00732D54"/>
    <w:rsid w:val="0073508F"/>
    <w:rsid w:val="00736530"/>
    <w:rsid w:val="00744B18"/>
    <w:rsid w:val="00745528"/>
    <w:rsid w:val="007550E6"/>
    <w:rsid w:val="0075631D"/>
    <w:rsid w:val="00757007"/>
    <w:rsid w:val="007574DF"/>
    <w:rsid w:val="00760762"/>
    <w:rsid w:val="00761115"/>
    <w:rsid w:val="007616FA"/>
    <w:rsid w:val="0077110E"/>
    <w:rsid w:val="007723D2"/>
    <w:rsid w:val="00772C59"/>
    <w:rsid w:val="00774648"/>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E797C"/>
    <w:rsid w:val="007F270C"/>
    <w:rsid w:val="007F3616"/>
    <w:rsid w:val="00803455"/>
    <w:rsid w:val="008109A5"/>
    <w:rsid w:val="00813028"/>
    <w:rsid w:val="008134BE"/>
    <w:rsid w:val="00823513"/>
    <w:rsid w:val="0082358F"/>
    <w:rsid w:val="00825464"/>
    <w:rsid w:val="00832148"/>
    <w:rsid w:val="00833EEB"/>
    <w:rsid w:val="00840553"/>
    <w:rsid w:val="00841A2D"/>
    <w:rsid w:val="008439B1"/>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211E"/>
    <w:rsid w:val="009E501E"/>
    <w:rsid w:val="009F092B"/>
    <w:rsid w:val="009F435E"/>
    <w:rsid w:val="009F4D4B"/>
    <w:rsid w:val="009F54C9"/>
    <w:rsid w:val="009F5A78"/>
    <w:rsid w:val="009F65DC"/>
    <w:rsid w:val="00A014D9"/>
    <w:rsid w:val="00A02821"/>
    <w:rsid w:val="00A030F8"/>
    <w:rsid w:val="00A06BD8"/>
    <w:rsid w:val="00A1098C"/>
    <w:rsid w:val="00A1353A"/>
    <w:rsid w:val="00A14187"/>
    <w:rsid w:val="00A23FF9"/>
    <w:rsid w:val="00A24797"/>
    <w:rsid w:val="00A2652C"/>
    <w:rsid w:val="00A26C35"/>
    <w:rsid w:val="00A335F8"/>
    <w:rsid w:val="00A34118"/>
    <w:rsid w:val="00A356D8"/>
    <w:rsid w:val="00A37117"/>
    <w:rsid w:val="00A372BA"/>
    <w:rsid w:val="00A46110"/>
    <w:rsid w:val="00A54512"/>
    <w:rsid w:val="00A54C77"/>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1AE5"/>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5500F"/>
    <w:rsid w:val="00B60E7C"/>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E5505"/>
    <w:rsid w:val="00BE692A"/>
    <w:rsid w:val="00BF452E"/>
    <w:rsid w:val="00BF6B4B"/>
    <w:rsid w:val="00BF73A8"/>
    <w:rsid w:val="00BF7FCC"/>
    <w:rsid w:val="00C00D9C"/>
    <w:rsid w:val="00C00F77"/>
    <w:rsid w:val="00C011E2"/>
    <w:rsid w:val="00C1232B"/>
    <w:rsid w:val="00C12CB3"/>
    <w:rsid w:val="00C16101"/>
    <w:rsid w:val="00C17B4E"/>
    <w:rsid w:val="00C23036"/>
    <w:rsid w:val="00C23B5A"/>
    <w:rsid w:val="00C23EE5"/>
    <w:rsid w:val="00C2651E"/>
    <w:rsid w:val="00C31F7D"/>
    <w:rsid w:val="00C352F8"/>
    <w:rsid w:val="00C37847"/>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695A"/>
    <w:rsid w:val="00C67B64"/>
    <w:rsid w:val="00C73136"/>
    <w:rsid w:val="00C74B44"/>
    <w:rsid w:val="00C80819"/>
    <w:rsid w:val="00C835B2"/>
    <w:rsid w:val="00C86185"/>
    <w:rsid w:val="00C87D99"/>
    <w:rsid w:val="00C94C16"/>
    <w:rsid w:val="00C97793"/>
    <w:rsid w:val="00CA2359"/>
    <w:rsid w:val="00CA3F75"/>
    <w:rsid w:val="00CA5857"/>
    <w:rsid w:val="00CB3456"/>
    <w:rsid w:val="00CB39A4"/>
    <w:rsid w:val="00CB4FB6"/>
    <w:rsid w:val="00CC5293"/>
    <w:rsid w:val="00CD3037"/>
    <w:rsid w:val="00CE0FA8"/>
    <w:rsid w:val="00CE21AD"/>
    <w:rsid w:val="00CE3DB1"/>
    <w:rsid w:val="00CF0739"/>
    <w:rsid w:val="00CF3121"/>
    <w:rsid w:val="00CF32FA"/>
    <w:rsid w:val="00D04554"/>
    <w:rsid w:val="00D10B61"/>
    <w:rsid w:val="00D117AE"/>
    <w:rsid w:val="00D12F06"/>
    <w:rsid w:val="00D15E94"/>
    <w:rsid w:val="00D21321"/>
    <w:rsid w:val="00D22676"/>
    <w:rsid w:val="00D24FC6"/>
    <w:rsid w:val="00D26ADB"/>
    <w:rsid w:val="00D30C2E"/>
    <w:rsid w:val="00D3329A"/>
    <w:rsid w:val="00D4428F"/>
    <w:rsid w:val="00D53B10"/>
    <w:rsid w:val="00D54F58"/>
    <w:rsid w:val="00D57F00"/>
    <w:rsid w:val="00D60DBB"/>
    <w:rsid w:val="00D645FE"/>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375C"/>
    <w:rsid w:val="00DE602D"/>
    <w:rsid w:val="00DE73C5"/>
    <w:rsid w:val="00DF4D69"/>
    <w:rsid w:val="00DF65FC"/>
    <w:rsid w:val="00DF7C53"/>
    <w:rsid w:val="00E00285"/>
    <w:rsid w:val="00E00A82"/>
    <w:rsid w:val="00E170FF"/>
    <w:rsid w:val="00E205F7"/>
    <w:rsid w:val="00E20849"/>
    <w:rsid w:val="00E22045"/>
    <w:rsid w:val="00E229FD"/>
    <w:rsid w:val="00E260E5"/>
    <w:rsid w:val="00E31613"/>
    <w:rsid w:val="00E318A5"/>
    <w:rsid w:val="00E32435"/>
    <w:rsid w:val="00E33B9E"/>
    <w:rsid w:val="00E36FDF"/>
    <w:rsid w:val="00E41128"/>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A7ECA"/>
    <w:rsid w:val="00EB10C6"/>
    <w:rsid w:val="00EB12EC"/>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E7AEC"/>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54F46"/>
    <w:rsid w:val="00F605C3"/>
    <w:rsid w:val="00F60994"/>
    <w:rsid w:val="00F6655B"/>
    <w:rsid w:val="00F66F10"/>
    <w:rsid w:val="00F6787C"/>
    <w:rsid w:val="00F67D19"/>
    <w:rsid w:val="00F751FF"/>
    <w:rsid w:val="00F81918"/>
    <w:rsid w:val="00F8396A"/>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
    <w:link w:val="Prrafodelista"/>
    <w:uiPriority w:val="34"/>
    <w:locked/>
    <w:rsid w:val="00A54C77"/>
  </w:style>
  <w:style w:type="character" w:customStyle="1" w:styleId="normaltextrun">
    <w:name w:val="normaltextrun"/>
    <w:basedOn w:val="Fuentedeprrafopredeter"/>
    <w:rsid w:val="00744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9096">
      <w:bodyDiv w:val="1"/>
      <w:marLeft w:val="0"/>
      <w:marRight w:val="0"/>
      <w:marTop w:val="0"/>
      <w:marBottom w:val="0"/>
      <w:divBdr>
        <w:top w:val="none" w:sz="0" w:space="0" w:color="auto"/>
        <w:left w:val="none" w:sz="0" w:space="0" w:color="auto"/>
        <w:bottom w:val="none" w:sz="0" w:space="0" w:color="auto"/>
        <w:right w:val="none" w:sz="0" w:space="0" w:color="auto"/>
      </w:divBdr>
    </w:div>
    <w:div w:id="106782537">
      <w:bodyDiv w:val="1"/>
      <w:marLeft w:val="0"/>
      <w:marRight w:val="0"/>
      <w:marTop w:val="0"/>
      <w:marBottom w:val="0"/>
      <w:divBdr>
        <w:top w:val="none" w:sz="0" w:space="0" w:color="auto"/>
        <w:left w:val="none" w:sz="0" w:space="0" w:color="auto"/>
        <w:bottom w:val="none" w:sz="0" w:space="0" w:color="auto"/>
        <w:right w:val="none" w:sz="0" w:space="0" w:color="auto"/>
      </w:divBdr>
    </w:div>
    <w:div w:id="262498174">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89882200">
      <w:bodyDiv w:val="1"/>
      <w:marLeft w:val="0"/>
      <w:marRight w:val="0"/>
      <w:marTop w:val="0"/>
      <w:marBottom w:val="0"/>
      <w:divBdr>
        <w:top w:val="none" w:sz="0" w:space="0" w:color="auto"/>
        <w:left w:val="none" w:sz="0" w:space="0" w:color="auto"/>
        <w:bottom w:val="none" w:sz="0" w:space="0" w:color="auto"/>
        <w:right w:val="none" w:sz="0" w:space="0" w:color="auto"/>
      </w:divBdr>
    </w:div>
    <w:div w:id="864710894">
      <w:bodyDiv w:val="1"/>
      <w:marLeft w:val="0"/>
      <w:marRight w:val="0"/>
      <w:marTop w:val="0"/>
      <w:marBottom w:val="0"/>
      <w:divBdr>
        <w:top w:val="none" w:sz="0" w:space="0" w:color="auto"/>
        <w:left w:val="none" w:sz="0" w:space="0" w:color="auto"/>
        <w:bottom w:val="none" w:sz="0" w:space="0" w:color="auto"/>
        <w:right w:val="none" w:sz="0" w:space="0" w:color="auto"/>
      </w:divBdr>
    </w:div>
    <w:div w:id="877622808">
      <w:bodyDiv w:val="1"/>
      <w:marLeft w:val="0"/>
      <w:marRight w:val="0"/>
      <w:marTop w:val="0"/>
      <w:marBottom w:val="0"/>
      <w:divBdr>
        <w:top w:val="none" w:sz="0" w:space="0" w:color="auto"/>
        <w:left w:val="none" w:sz="0" w:space="0" w:color="auto"/>
        <w:bottom w:val="none" w:sz="0" w:space="0" w:color="auto"/>
        <w:right w:val="none" w:sz="0" w:space="0" w:color="auto"/>
      </w:divBdr>
    </w:div>
    <w:div w:id="888228015">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47022383">
      <w:bodyDiv w:val="1"/>
      <w:marLeft w:val="0"/>
      <w:marRight w:val="0"/>
      <w:marTop w:val="0"/>
      <w:marBottom w:val="0"/>
      <w:divBdr>
        <w:top w:val="none" w:sz="0" w:space="0" w:color="auto"/>
        <w:left w:val="none" w:sz="0" w:space="0" w:color="auto"/>
        <w:bottom w:val="none" w:sz="0" w:space="0" w:color="auto"/>
        <w:right w:val="none" w:sz="0" w:space="0" w:color="auto"/>
      </w:divBdr>
    </w:div>
    <w:div w:id="1058865658">
      <w:bodyDiv w:val="1"/>
      <w:marLeft w:val="0"/>
      <w:marRight w:val="0"/>
      <w:marTop w:val="0"/>
      <w:marBottom w:val="0"/>
      <w:divBdr>
        <w:top w:val="none" w:sz="0" w:space="0" w:color="auto"/>
        <w:left w:val="none" w:sz="0" w:space="0" w:color="auto"/>
        <w:bottom w:val="none" w:sz="0" w:space="0" w:color="auto"/>
        <w:right w:val="none" w:sz="0" w:space="0" w:color="auto"/>
      </w:divBdr>
    </w:div>
    <w:div w:id="1080058647">
      <w:bodyDiv w:val="1"/>
      <w:marLeft w:val="0"/>
      <w:marRight w:val="0"/>
      <w:marTop w:val="0"/>
      <w:marBottom w:val="0"/>
      <w:divBdr>
        <w:top w:val="none" w:sz="0" w:space="0" w:color="auto"/>
        <w:left w:val="none" w:sz="0" w:space="0" w:color="auto"/>
        <w:bottom w:val="none" w:sz="0" w:space="0" w:color="auto"/>
        <w:right w:val="none" w:sz="0" w:space="0" w:color="auto"/>
      </w:divBdr>
    </w:div>
    <w:div w:id="1116871003">
      <w:bodyDiv w:val="1"/>
      <w:marLeft w:val="0"/>
      <w:marRight w:val="0"/>
      <w:marTop w:val="0"/>
      <w:marBottom w:val="0"/>
      <w:divBdr>
        <w:top w:val="none" w:sz="0" w:space="0" w:color="auto"/>
        <w:left w:val="none" w:sz="0" w:space="0" w:color="auto"/>
        <w:bottom w:val="none" w:sz="0" w:space="0" w:color="auto"/>
        <w:right w:val="none" w:sz="0" w:space="0" w:color="auto"/>
      </w:divBdr>
    </w:div>
    <w:div w:id="1202354254">
      <w:bodyDiv w:val="1"/>
      <w:marLeft w:val="0"/>
      <w:marRight w:val="0"/>
      <w:marTop w:val="0"/>
      <w:marBottom w:val="0"/>
      <w:divBdr>
        <w:top w:val="none" w:sz="0" w:space="0" w:color="auto"/>
        <w:left w:val="none" w:sz="0" w:space="0" w:color="auto"/>
        <w:bottom w:val="none" w:sz="0" w:space="0" w:color="auto"/>
        <w:right w:val="none" w:sz="0" w:space="0" w:color="auto"/>
      </w:divBdr>
    </w:div>
    <w:div w:id="1361396194">
      <w:bodyDiv w:val="1"/>
      <w:marLeft w:val="0"/>
      <w:marRight w:val="0"/>
      <w:marTop w:val="0"/>
      <w:marBottom w:val="0"/>
      <w:divBdr>
        <w:top w:val="none" w:sz="0" w:space="0" w:color="auto"/>
        <w:left w:val="none" w:sz="0" w:space="0" w:color="auto"/>
        <w:bottom w:val="none" w:sz="0" w:space="0" w:color="auto"/>
        <w:right w:val="none" w:sz="0" w:space="0" w:color="auto"/>
      </w:divBdr>
    </w:div>
    <w:div w:id="1679693987">
      <w:bodyDiv w:val="1"/>
      <w:marLeft w:val="0"/>
      <w:marRight w:val="0"/>
      <w:marTop w:val="0"/>
      <w:marBottom w:val="0"/>
      <w:divBdr>
        <w:top w:val="none" w:sz="0" w:space="0" w:color="auto"/>
        <w:left w:val="none" w:sz="0" w:space="0" w:color="auto"/>
        <w:bottom w:val="none" w:sz="0" w:space="0" w:color="auto"/>
        <w:right w:val="none" w:sz="0" w:space="0" w:color="auto"/>
      </w:divBdr>
    </w:div>
    <w:div w:id="172078109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7695</Characters>
  <Application>Microsoft Office Word</Application>
  <DocSecurity>0</DocSecurity>
  <Lines>7695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cp:revision>
  <cp:lastPrinted>2021-06-08T20:16:00Z</cp:lastPrinted>
  <dcterms:created xsi:type="dcterms:W3CDTF">2024-12-06T19:32:00Z</dcterms:created>
  <dcterms:modified xsi:type="dcterms:W3CDTF">2024-12-06T19:32:00Z</dcterms:modified>
</cp:coreProperties>
</file>