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5A5E69FA" w:rsidR="004619E8" w:rsidRPr="001B0470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75E2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4F7433" w:rsidRPr="004F7433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Sustitución de cubierta y reforzamiento en paso elevado para la Casa de la Cultura Jurídica en San Luis Potosí, San Luis Potosí</w:t>
      </w:r>
      <w:r w:rsidR="00575E2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en 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>calle Venustiano Carranza número 1830, colonia Del Valle, código postal 78200, Municipio San Luis Potosí, Estado de San Luis Potosí.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64D6D929" w:rsidR="005240D2" w:rsidRPr="00E930FE" w:rsidRDefault="00392608" w:rsidP="00914399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4F7433">
        <w:rPr>
          <w:rFonts w:ascii="Arial" w:hAnsi="Arial" w:cs="Arial"/>
          <w:sz w:val="20"/>
          <w:szCs w:val="20"/>
        </w:rPr>
        <w:t>sesenta</w:t>
      </w:r>
      <w:r w:rsidR="00E930FE" w:rsidRPr="00E930FE">
        <w:rPr>
          <w:rFonts w:ascii="Arial" w:hAnsi="Arial" w:cs="Arial"/>
          <w:sz w:val="20"/>
          <w:szCs w:val="20"/>
        </w:rPr>
        <w:t xml:space="preserve"> días naturales a partir de la entrega del anticipo y puesta a disposición </w:t>
      </w:r>
      <w:r w:rsidR="004F7433">
        <w:rPr>
          <w:rFonts w:ascii="Arial" w:hAnsi="Arial" w:cs="Arial"/>
          <w:sz w:val="20"/>
          <w:szCs w:val="20"/>
        </w:rPr>
        <w:t>d</w:t>
      </w:r>
      <w:r w:rsidR="00E930FE" w:rsidRPr="00E930FE">
        <w:rPr>
          <w:rFonts w:ascii="Arial" w:hAnsi="Arial" w:cs="Arial"/>
          <w:sz w:val="20"/>
          <w:szCs w:val="20"/>
        </w:rPr>
        <w:t>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D937177" w14:textId="2BA0578C" w:rsidR="004F7433" w:rsidRPr="001B0470" w:rsidRDefault="00AF307A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4F7433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 a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E930FE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F7433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4F7433" w:rsidRPr="004F7433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Sustitución de cubierta y reforzamiento en paso elevado para la Casa de la Cultura Jurídica en San Luis Potosí, San Luis Potosí</w:t>
      </w:r>
      <w:r w:rsidR="004F7433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7433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4F7433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4F7433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4F7433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en 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>calle Venustiano Carranza número 1830, colonia Del Valle, código postal 78200, Municipio San Luis Potosí, Estado de San Luis Potosí.</w:t>
      </w:r>
    </w:p>
    <w:p w14:paraId="0AE4D0E2" w14:textId="5C74BBEB" w:rsidR="00E930FE" w:rsidRPr="004F7433" w:rsidRDefault="00E930FE" w:rsidP="004F743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B3E2B4A" w14:textId="1751A9ED" w:rsidR="004F7433" w:rsidRPr="004F7433" w:rsidRDefault="00757EC1" w:rsidP="004F7433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F7433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4F7433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4F743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4F743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4F7433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4619E8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naturales a 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>artir de la entrega del anticipo y puesta a disposición del inmueble.</w:t>
      </w:r>
    </w:p>
    <w:p w14:paraId="12B5857F" w14:textId="3B0F6F94" w:rsidR="005240D2" w:rsidRPr="004F7433" w:rsidRDefault="005240D2" w:rsidP="004F743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1B68A" w14:textId="77777777" w:rsidR="00A044F5" w:rsidRDefault="00A044F5" w:rsidP="00C451B3">
      <w:pPr>
        <w:spacing w:after="0" w:line="240" w:lineRule="auto"/>
      </w:pPr>
      <w:r>
        <w:separator/>
      </w:r>
    </w:p>
  </w:endnote>
  <w:endnote w:type="continuationSeparator" w:id="0">
    <w:p w14:paraId="1A7644D9" w14:textId="77777777" w:rsidR="00A044F5" w:rsidRDefault="00A044F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7BD4FAF2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4F7433">
      <w:rPr>
        <w:rFonts w:ascii="Arial" w:hAnsi="Arial" w:cs="Arial"/>
        <w:sz w:val="10"/>
        <w:szCs w:val="10"/>
        <w:lang w:val="en-US"/>
      </w:rPr>
      <w:t>13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15E1" w14:textId="77777777" w:rsidR="00A044F5" w:rsidRDefault="00A044F5" w:rsidP="00C451B3">
      <w:pPr>
        <w:spacing w:after="0" w:line="240" w:lineRule="auto"/>
      </w:pPr>
      <w:r>
        <w:separator/>
      </w:r>
    </w:p>
  </w:footnote>
  <w:footnote w:type="continuationSeparator" w:id="0">
    <w:p w14:paraId="6DBB6ABA" w14:textId="77777777" w:rsidR="00A044F5" w:rsidRDefault="00A044F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4D5B7" w14:textId="77777777" w:rsidR="004F7433" w:rsidRDefault="004F7433" w:rsidP="004F74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7FB7B541" w14:textId="77777777" w:rsidR="004F7433" w:rsidRDefault="004F7433" w:rsidP="004F74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45B16E68" w14:textId="77777777" w:rsidR="004F7433" w:rsidRPr="008015A3" w:rsidRDefault="004F7433" w:rsidP="004F74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68D6FF5C" w14:textId="716684E8" w:rsidR="001106E2" w:rsidRPr="00AF307A" w:rsidRDefault="00000000" w:rsidP="001B047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05pt;height:11.0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0"/>
  </w:num>
  <w:num w:numId="41" w16cid:durableId="3206951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02BDC"/>
    <w:rsid w:val="00624E37"/>
    <w:rsid w:val="00626160"/>
    <w:rsid w:val="006279E5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964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2023-06-02T23:35:00Z</dcterms:created>
  <dcterms:modified xsi:type="dcterms:W3CDTF">2023-07-08T01:13:00Z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