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89B789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8635BF">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F6D7D70"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w:t>
      </w:r>
      <w:r w:rsidR="006A73F4">
        <w:rPr>
          <w:rFonts w:ascii="Arial" w:hAnsi="Arial" w:cs="Arial"/>
          <w:bCs/>
          <w:sz w:val="20"/>
          <w:szCs w:val="20"/>
        </w:rPr>
        <w:t>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6739FD4"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CA4471" w:rsidRPr="00CA4471">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Partida Presupuestal</w:t>
      </w:r>
      <w:r w:rsidR="006203E6">
        <w:rPr>
          <w:rFonts w:ascii="Arial" w:eastAsia="Times New Roman" w:hAnsi="Arial" w:cs="Arial"/>
          <w:bCs/>
          <w:snapToGrid w:val="0"/>
          <w:sz w:val="20"/>
          <w:szCs w:val="20"/>
          <w:lang w:val="es-ES_tradnl" w:eastAsia="es-ES"/>
        </w:rPr>
        <w:t xml:space="preserve"> </w:t>
      </w:r>
      <w:r w:rsidR="008454F7">
        <w:rPr>
          <w:rFonts w:ascii="Arial" w:eastAsia="Times New Roman" w:hAnsi="Arial" w:cs="Arial"/>
          <w:bCs/>
          <w:snapToGrid w:val="0"/>
          <w:sz w:val="20"/>
          <w:szCs w:val="20"/>
          <w:lang w:val="es-ES_tradnl" w:eastAsia="es-ES"/>
        </w:rPr>
        <w:t>24</w:t>
      </w:r>
      <w:r w:rsidR="00EC58DB">
        <w:rPr>
          <w:rFonts w:ascii="Arial" w:eastAsia="Times New Roman" w:hAnsi="Arial" w:cs="Arial"/>
          <w:bCs/>
          <w:snapToGrid w:val="0"/>
          <w:sz w:val="20"/>
          <w:szCs w:val="20"/>
          <w:lang w:val="es-ES_tradnl" w:eastAsia="es-ES"/>
        </w:rPr>
        <w:t>9</w:t>
      </w:r>
      <w:r w:rsidR="006203E6">
        <w:rPr>
          <w:rFonts w:ascii="Arial" w:eastAsia="Times New Roman" w:hAnsi="Arial" w:cs="Arial"/>
          <w:bCs/>
          <w:snapToGrid w:val="0"/>
          <w:sz w:val="20"/>
          <w:szCs w:val="20"/>
          <w:lang w:val="es-ES_tradnl" w:eastAsia="es-ES"/>
        </w:rPr>
        <w:t>01 “</w:t>
      </w:r>
      <w:r w:rsidR="00C329A1">
        <w:rPr>
          <w:rFonts w:ascii="Arial" w:eastAsia="Times New Roman" w:hAnsi="Arial" w:cs="Arial"/>
          <w:bCs/>
          <w:snapToGrid w:val="0"/>
          <w:sz w:val="20"/>
          <w:szCs w:val="20"/>
          <w:lang w:val="es-ES_tradnl" w:eastAsia="es-ES"/>
        </w:rPr>
        <w:t xml:space="preserve">Otros </w:t>
      </w:r>
      <w:r w:rsidR="008454F7" w:rsidRPr="008454F7">
        <w:rPr>
          <w:rFonts w:ascii="Arial" w:eastAsia="Times New Roman" w:hAnsi="Arial" w:cs="Arial"/>
          <w:bCs/>
          <w:snapToGrid w:val="0"/>
          <w:sz w:val="20"/>
          <w:szCs w:val="20"/>
          <w:lang w:val="es-ES_tradnl" w:eastAsia="es-ES"/>
        </w:rPr>
        <w:t>Material</w:t>
      </w:r>
      <w:r w:rsidR="00C91CCB">
        <w:rPr>
          <w:rFonts w:ascii="Arial" w:eastAsia="Times New Roman" w:hAnsi="Arial" w:cs="Arial"/>
          <w:bCs/>
          <w:snapToGrid w:val="0"/>
          <w:sz w:val="20"/>
          <w:szCs w:val="20"/>
          <w:lang w:val="es-ES_tradnl" w:eastAsia="es-ES"/>
        </w:rPr>
        <w:t xml:space="preserve">es y Artículos de </w:t>
      </w:r>
      <w:r w:rsidR="00B16A66">
        <w:rPr>
          <w:rFonts w:ascii="Arial" w:eastAsia="Times New Roman" w:hAnsi="Arial" w:cs="Arial"/>
          <w:bCs/>
          <w:snapToGrid w:val="0"/>
          <w:sz w:val="20"/>
          <w:szCs w:val="20"/>
          <w:lang w:val="es-ES_tradnl" w:eastAsia="es-ES"/>
        </w:rPr>
        <w:t>Construcción y Reparación</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w:t>
      </w:r>
      <w:r w:rsidRPr="00CE2705">
        <w:rPr>
          <w:rFonts w:ascii="Arial" w:eastAsia="Times New Roman" w:hAnsi="Arial" w:cs="Arial"/>
          <w:bCs/>
          <w:snapToGrid w:val="0"/>
          <w:sz w:val="20"/>
          <w:szCs w:val="20"/>
          <w:lang w:val="es-ES_tradnl" w:eastAsia="es-ES"/>
        </w:rPr>
        <w:lastRenderedPageBreak/>
        <w:t>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64F3EB55"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589A8269" w14:textId="7333B81B" w:rsidR="008635BF" w:rsidRPr="00F93C8E" w:rsidRDefault="00171E9A"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CC0F2C" w:rsidRPr="00CC0F2C">
        <w:rPr>
          <w:rFonts w:ascii="Arial" w:eastAsia="Times New Roman" w:hAnsi="Arial" w:cs="Arial"/>
          <w:bCs/>
          <w:snapToGrid w:val="0"/>
          <w:sz w:val="20"/>
          <w:szCs w:val="20"/>
          <w:lang w:val="es-ES_tradnl" w:eastAsia="es-ES"/>
        </w:rPr>
        <w:t>sesenta días naturales contados a partir del día hábil siguiente a la firma del contrato</w:t>
      </w:r>
      <w:r w:rsidR="00CC0F2C">
        <w:rPr>
          <w:rFonts w:ascii="Arial" w:eastAsia="Times New Roman" w:hAnsi="Arial" w:cs="Arial"/>
          <w:bCs/>
          <w:snapToGrid w:val="0"/>
          <w:sz w:val="20"/>
          <w:szCs w:val="20"/>
          <w:lang w:val="es-ES_tradnl" w:eastAsia="es-ES"/>
        </w:rPr>
        <w:t>.</w:t>
      </w:r>
      <w:r w:rsidR="008635BF">
        <w:rPr>
          <w:rFonts w:ascii="Arial" w:eastAsia="Times New Roman" w:hAnsi="Arial" w:cs="Arial"/>
          <w:bCs/>
          <w:snapToGrid w:val="0"/>
          <w:sz w:val="20"/>
          <w:szCs w:val="20"/>
          <w:lang w:val="es-ES_tradnl" w:eastAsia="es-ES"/>
        </w:rPr>
        <w:t xml:space="preserve"> </w:t>
      </w:r>
      <w:r w:rsidR="008635BF" w:rsidRPr="000A7262">
        <w:rPr>
          <w:rFonts w:ascii="Arial" w:eastAsia="Times New Roman" w:hAnsi="Arial" w:cs="Arial"/>
          <w:bCs/>
          <w:snapToGrid w:val="0"/>
          <w:sz w:val="20"/>
          <w:szCs w:val="20"/>
          <w:lang w:val="es-ES_tradnl" w:eastAsia="es-ES"/>
        </w:rPr>
        <w:t xml:space="preserve">En caso de que </w:t>
      </w:r>
      <w:r w:rsidR="008635BF">
        <w:rPr>
          <w:rFonts w:ascii="Arial" w:eastAsia="Times New Roman" w:hAnsi="Arial" w:cs="Arial"/>
          <w:bCs/>
          <w:snapToGrid w:val="0"/>
          <w:sz w:val="20"/>
          <w:szCs w:val="20"/>
          <w:lang w:val="es-ES_tradnl" w:eastAsia="es-ES"/>
        </w:rPr>
        <w:t xml:space="preserve">el </w:t>
      </w:r>
      <w:r w:rsidR="008635BF"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2126630E" w14:textId="2A379F16" w:rsidR="00171E9A"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5D4202A" w14:textId="1E3C37B6" w:rsidR="00B0025D" w:rsidRPr="00B0025D" w:rsidRDefault="00B0025D" w:rsidP="00171E9A">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bookmarkStart w:id="2" w:name="_Hlk169600827"/>
      <w:bookmarkStart w:id="3" w:name="_Hlk169600814"/>
      <w:r w:rsidRPr="00B0025D">
        <w:rPr>
          <w:rFonts w:ascii="Arial" w:eastAsia="Times New Roman" w:hAnsi="Arial" w:cs="Arial"/>
          <w:bCs/>
          <w:i/>
          <w:iCs/>
          <w:snapToGrid w:val="0"/>
          <w:sz w:val="20"/>
          <w:szCs w:val="20"/>
          <w:lang w:val="es-ES_tradnl" w:eastAsia="es-ES"/>
        </w:rPr>
        <w:t>[En su caso, las penas convencionales también podrán hacerse efectivas mediante la garantía otorgada</w:t>
      </w:r>
      <w:r>
        <w:rPr>
          <w:rFonts w:ascii="Arial" w:eastAsia="Times New Roman" w:hAnsi="Arial" w:cs="Arial"/>
          <w:bCs/>
          <w:i/>
          <w:iCs/>
          <w:snapToGrid w:val="0"/>
          <w:sz w:val="20"/>
          <w:szCs w:val="20"/>
          <w:lang w:val="es-ES_tradnl" w:eastAsia="es-ES"/>
        </w:rPr>
        <w:t>]</w:t>
      </w:r>
      <w:bookmarkEnd w:id="2"/>
    </w:p>
    <w:bookmarkEnd w:id="3"/>
    <w:p w14:paraId="3CA6D411" w14:textId="2A06E415" w:rsidR="006A73F4" w:rsidRPr="000B749D" w:rsidRDefault="00171E9A" w:rsidP="006A73F4">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r w:rsidR="006A73F4" w:rsidRPr="000B749D">
        <w:rPr>
          <w:rFonts w:ascii="Arial" w:hAnsi="Arial" w:cs="Arial"/>
          <w:bCs/>
          <w:sz w:val="20"/>
          <w:szCs w:val="20"/>
        </w:rPr>
        <w:t>[</w:t>
      </w:r>
      <w:r w:rsidR="006A73F4" w:rsidRPr="000B749D">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4"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4"/>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1CC60367" w:rsidR="00171E9A" w:rsidRPr="00B0025D"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i/>
          <w:i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r w:rsidR="00B0025D" w:rsidRPr="00B0025D">
        <w:t xml:space="preserve"> </w:t>
      </w:r>
      <w:r w:rsidR="00B0025D" w:rsidRPr="00B0025D">
        <w:rPr>
          <w:rFonts w:ascii="Arial" w:eastAsia="Times New Roman" w:hAnsi="Arial" w:cs="Arial"/>
          <w:bCs/>
          <w:i/>
          <w:iCs/>
          <w:snapToGrid w:val="0"/>
          <w:sz w:val="20"/>
          <w:szCs w:val="20"/>
          <w:lang w:val="es-ES_tradnl" w:eastAsia="es-ES"/>
        </w:rPr>
        <w:t xml:space="preserve">4) Si el </w:t>
      </w:r>
      <w:r w:rsidR="00B0025D">
        <w:rPr>
          <w:rFonts w:ascii="Arial" w:eastAsia="Times New Roman" w:hAnsi="Arial" w:cs="Arial"/>
          <w:bCs/>
          <w:snapToGrid w:val="0"/>
          <w:sz w:val="20"/>
          <w:szCs w:val="20"/>
          <w:lang w:val="es-ES_tradnl" w:eastAsia="es-ES"/>
        </w:rPr>
        <w:t>“Proveedor”</w:t>
      </w:r>
      <w:r w:rsidR="00B0025D" w:rsidRPr="00B0025D">
        <w:rPr>
          <w:rFonts w:ascii="Arial" w:eastAsia="Times New Roman" w:hAnsi="Arial" w:cs="Arial"/>
          <w:bCs/>
          <w:i/>
          <w:iCs/>
          <w:snapToGrid w:val="0"/>
          <w:sz w:val="20"/>
          <w:szCs w:val="20"/>
          <w:lang w:val="es-ES_tradnl" w:eastAsia="es-ES"/>
        </w:rPr>
        <w:t xml:space="preserve"> no exhibe las garantías en los términos y condiciones indicados en este contrato de conformidad con el artículo 169, del Acuerdo General de Administración XIV/2019.</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17415E2B"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r w:rsidR="008635BF">
        <w:rPr>
          <w:rFonts w:ascii="Arial" w:eastAsia="Times New Roman" w:hAnsi="Arial" w:cs="Arial"/>
          <w:bCs/>
          <w:snapToGrid w:val="0"/>
          <w:sz w:val="20"/>
          <w:szCs w:val="20"/>
          <w:lang w:val="es-ES_tradnl" w:eastAsia="es-ES"/>
        </w:rPr>
        <w:t xml:space="preserve"> y respecto </w:t>
      </w:r>
      <w:bookmarkStart w:id="5" w:name="_Hlk169601124"/>
      <w:r w:rsidR="008635BF" w:rsidRPr="003E34AD">
        <w:rPr>
          <w:rFonts w:ascii="Arial" w:eastAsia="Times New Roman" w:hAnsi="Arial" w:cs="Arial"/>
          <w:bCs/>
          <w:snapToGrid w:val="0"/>
          <w:sz w:val="20"/>
          <w:szCs w:val="20"/>
          <w:lang w:val="es-ES_tradnl" w:eastAsia="es-ES"/>
        </w:rPr>
        <w:t>a que</w:t>
      </w:r>
      <w:bookmarkEnd w:id="5"/>
      <w:r w:rsidR="008635BF" w:rsidRPr="003E34AD">
        <w:rPr>
          <w:rFonts w:ascii="Arial" w:eastAsia="Times New Roman" w:hAnsi="Arial" w:cs="Arial"/>
          <w:bCs/>
          <w:snapToGrid w:val="0"/>
          <w:sz w:val="20"/>
          <w:szCs w:val="20"/>
          <w:lang w:val="es-ES_tradnl" w:eastAsia="es-ES"/>
        </w:rPr>
        <w:t xml:space="preserve"> los bienes serán de la calidad requerida, nuevos y originales.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2043C6C8"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463AC9">
        <w:rPr>
          <w:rFonts w:ascii="Arial" w:eastAsia="Times New Roman" w:hAnsi="Arial" w:cs="Arial"/>
          <w:b/>
          <w:snapToGrid w:val="0"/>
          <w:sz w:val="20"/>
          <w:szCs w:val="20"/>
          <w:lang w:val="es-ES_tradnl" w:eastAsia="es-ES"/>
        </w:rPr>
        <w:t>0</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41C647F3"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Pr>
          <w:rFonts w:ascii="Arial" w:hAnsi="Arial" w:cs="Arial"/>
          <w:bCs/>
          <w:sz w:val="20"/>
          <w:szCs w:val="20"/>
        </w:rPr>
        <w:t xml:space="preserve"> I</w:t>
      </w:r>
      <w:r w:rsidR="006A73F4">
        <w:rPr>
          <w:rFonts w:ascii="Arial" w:hAnsi="Arial" w:cs="Arial"/>
          <w:bCs/>
          <w:sz w:val="20"/>
          <w:szCs w:val="20"/>
        </w:rPr>
        <w:t>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3ACD419" w14:textId="77777777" w:rsidR="0055321F" w:rsidRDefault="008454F7"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827FAD" w:rsidRPr="00827FAD">
        <w:rPr>
          <w:rFonts w:ascii="Arial" w:eastAsia="Times New Roman" w:hAnsi="Arial" w:cs="Arial"/>
          <w:bCs/>
          <w:snapToGrid w:val="0"/>
          <w:sz w:val="20"/>
          <w:szCs w:val="20"/>
          <w:lang w:val="es-ES_tradnl" w:eastAsia="es-ES"/>
        </w:rPr>
        <w:t>24510930S0010001, Partida Presupuestal 24901 “Otros Materiales y Artículos de Construcción y Reparación”.</w:t>
      </w:r>
    </w:p>
    <w:p w14:paraId="093B9699" w14:textId="7D6415FF"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Pr="006C308E"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D90466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2E8A445"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71F2CB46"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0A6D1EF7" w14:textId="77777777" w:rsidR="00463AC9" w:rsidRPr="00CE2705"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w:t>
      </w:r>
      <w:r w:rsidRPr="00CE2705">
        <w:rPr>
          <w:rFonts w:ascii="Arial" w:eastAsia="Times New Roman" w:hAnsi="Arial" w:cs="Arial"/>
          <w:bCs/>
          <w:snapToGrid w:val="0"/>
          <w:sz w:val="20"/>
          <w:szCs w:val="20"/>
          <w:lang w:val="es-ES_tradnl" w:eastAsia="es-ES"/>
        </w:rPr>
        <w:lastRenderedPageBreak/>
        <w:t>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74997D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7D51D53C"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476E545C" w14:textId="0283AC61"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w:t>
      </w:r>
      <w:r w:rsidRPr="00CC0F2C">
        <w:rPr>
          <w:rFonts w:ascii="Arial" w:eastAsia="Times New Roman" w:hAnsi="Arial" w:cs="Arial"/>
          <w:bCs/>
          <w:snapToGrid w:val="0"/>
          <w:sz w:val="20"/>
          <w:szCs w:val="20"/>
          <w:lang w:val="es-ES_tradnl" w:eastAsia="es-ES"/>
        </w:rPr>
        <w:t>sesenta días naturales contados a partir del día hábil siguiente a la firma del contrato</w:t>
      </w:r>
      <w:r>
        <w:rPr>
          <w:rFonts w:ascii="Arial" w:eastAsia="Times New Roman" w:hAnsi="Arial" w:cs="Arial"/>
          <w:bCs/>
          <w:snapToGrid w:val="0"/>
          <w:sz w:val="20"/>
          <w:szCs w:val="20"/>
          <w:lang w:val="es-ES_tradnl" w:eastAsia="es-ES"/>
        </w:rPr>
        <w:t>.</w:t>
      </w:r>
      <w:r w:rsidR="00B0025D" w:rsidRPr="00B0025D">
        <w:rPr>
          <w:rFonts w:ascii="Arial" w:eastAsia="Times New Roman" w:hAnsi="Arial" w:cs="Arial"/>
          <w:bCs/>
          <w:snapToGrid w:val="0"/>
          <w:sz w:val="20"/>
          <w:szCs w:val="20"/>
          <w:lang w:val="es-ES_tradnl" w:eastAsia="es-ES"/>
        </w:rPr>
        <w:t xml:space="preserve"> </w:t>
      </w:r>
      <w:r w:rsidR="00B0025D" w:rsidRPr="000A7262">
        <w:rPr>
          <w:rFonts w:ascii="Arial" w:eastAsia="Times New Roman" w:hAnsi="Arial" w:cs="Arial"/>
          <w:bCs/>
          <w:snapToGrid w:val="0"/>
          <w:sz w:val="20"/>
          <w:szCs w:val="20"/>
          <w:lang w:val="es-ES_tradnl" w:eastAsia="es-ES"/>
        </w:rPr>
        <w:t xml:space="preserve">En caso de que </w:t>
      </w:r>
      <w:r w:rsidR="00B0025D">
        <w:rPr>
          <w:rFonts w:ascii="Arial" w:eastAsia="Times New Roman" w:hAnsi="Arial" w:cs="Arial"/>
          <w:bCs/>
          <w:snapToGrid w:val="0"/>
          <w:sz w:val="20"/>
          <w:szCs w:val="20"/>
          <w:lang w:val="es-ES_tradnl" w:eastAsia="es-ES"/>
        </w:rPr>
        <w:t>el</w:t>
      </w:r>
      <w:r w:rsidR="00B0025D"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40286188" w14:textId="21C74398" w:rsidR="008635BF" w:rsidRPr="00F93C8E" w:rsidRDefault="00463AC9"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r w:rsidR="008635BF">
        <w:rPr>
          <w:rFonts w:ascii="Arial" w:eastAsia="Times New Roman" w:hAnsi="Arial" w:cs="Arial"/>
          <w:bCs/>
          <w:snapToGrid w:val="0"/>
          <w:sz w:val="20"/>
          <w:szCs w:val="20"/>
          <w:lang w:val="es-ES_tradnl" w:eastAsia="es-ES"/>
        </w:rPr>
        <w:t xml:space="preserve"> </w:t>
      </w:r>
    </w:p>
    <w:p w14:paraId="1D944746"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5C7F03B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FBDB78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7C35A2A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0ADFC3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1DB1CD7B"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05E0C2EB" w14:textId="2AC09ABC" w:rsidR="00B0025D" w:rsidRPr="00F93C8E" w:rsidRDefault="00B0025D"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E2117A">
        <w:rPr>
          <w:rFonts w:ascii="Arial" w:eastAsia="Times New Roman" w:hAnsi="Arial" w:cs="Arial"/>
          <w:bCs/>
          <w:i/>
          <w:iCs/>
          <w:snapToGrid w:val="0"/>
          <w:sz w:val="20"/>
          <w:szCs w:val="20"/>
          <w:lang w:val="es-ES_tradnl" w:eastAsia="es-ES"/>
        </w:rPr>
        <w:t>[En su caso, las penas convencionales también podrán hacerse efectivas mediante la garantía otorgada</w:t>
      </w:r>
      <w:r>
        <w:rPr>
          <w:rFonts w:ascii="Arial" w:eastAsia="Times New Roman" w:hAnsi="Arial" w:cs="Arial"/>
          <w:bCs/>
          <w:i/>
          <w:iCs/>
          <w:snapToGrid w:val="0"/>
          <w:sz w:val="20"/>
          <w:szCs w:val="20"/>
          <w:lang w:val="es-ES_tradnl" w:eastAsia="es-ES"/>
        </w:rPr>
        <w:t>]</w:t>
      </w:r>
    </w:p>
    <w:p w14:paraId="4924B90E" w14:textId="62FF5F56" w:rsidR="00463AC9"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r w:rsidR="006A73F4">
        <w:rPr>
          <w:rFonts w:ascii="Arial" w:hAnsi="Arial" w:cs="Arial"/>
          <w:bCs/>
          <w:sz w:val="20"/>
          <w:szCs w:val="20"/>
        </w:rPr>
        <w:t xml:space="preserve"> </w:t>
      </w:r>
      <w:r w:rsidR="006A73F4" w:rsidRPr="00EA5D83">
        <w:rPr>
          <w:rFonts w:ascii="Arial" w:hAnsi="Arial" w:cs="Arial"/>
          <w:bCs/>
          <w:sz w:val="20"/>
          <w:szCs w:val="20"/>
        </w:rPr>
        <w:t>[</w:t>
      </w:r>
      <w:r w:rsidR="006A73F4" w:rsidRPr="00EA5D83">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20DC31F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3A75AF71"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4FD84C4E"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37F42667"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2C71FDA2"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2C1BFCE1" w14:textId="1DDCECD1"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sidR="00994459">
        <w:rPr>
          <w:rFonts w:ascii="Arial" w:eastAsia="Times New Roman" w:hAnsi="Arial" w:cs="Arial"/>
          <w:bCs/>
          <w:snapToGrid w:val="0"/>
          <w:sz w:val="20"/>
          <w:szCs w:val="20"/>
          <w:lang w:val="es-ES_tradnl" w:eastAsia="es-ES"/>
        </w:rPr>
        <w:t>este</w:t>
      </w:r>
      <w:r w:rsidR="00994459" w:rsidRPr="006C2FEA">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48C11316"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2061A8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F352163"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244E931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56E38DD"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2088701F" w14:textId="77777777"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D42163A"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B5B750D"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EA66696"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30BA73C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BF8EA6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745E324"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w:t>
      </w:r>
      <w:r w:rsidRPr="00AC53A2">
        <w:rPr>
          <w:rFonts w:ascii="Arial" w:eastAsia="Times New Roman" w:hAnsi="Arial" w:cs="Arial"/>
          <w:bCs/>
          <w:snapToGrid w:val="0"/>
          <w:sz w:val="20"/>
          <w:szCs w:val="20"/>
          <w:lang w:val="es-ES_tradnl" w:eastAsia="es-ES"/>
        </w:rPr>
        <w:lastRenderedPageBreak/>
        <w:t>encuentre en el lugar, otorgándole un plazo de cinco días hábiles para que manifieste lo que a su derecho convenga, anexe los documentos que estime convenientes y aporte, en su caso, las pruebas que estime pertinentes.</w:t>
      </w:r>
    </w:p>
    <w:p w14:paraId="6F278EA7" w14:textId="20AE11E3"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r w:rsidR="00B0025D" w:rsidRPr="00B0025D">
        <w:rPr>
          <w:rFonts w:ascii="Arial" w:eastAsia="Times New Roman" w:hAnsi="Arial" w:cs="Arial"/>
          <w:bCs/>
          <w:i/>
          <w:iCs/>
          <w:snapToGrid w:val="0"/>
          <w:sz w:val="20"/>
          <w:szCs w:val="20"/>
          <w:lang w:val="es-ES_tradnl" w:eastAsia="es-ES"/>
        </w:rPr>
        <w:t xml:space="preserve"> 4) Si el </w:t>
      </w:r>
      <w:r w:rsidR="00B0025D">
        <w:rPr>
          <w:rFonts w:ascii="Arial" w:eastAsia="Times New Roman" w:hAnsi="Arial" w:cs="Arial"/>
          <w:bCs/>
          <w:snapToGrid w:val="0"/>
          <w:sz w:val="20"/>
          <w:szCs w:val="20"/>
          <w:lang w:val="es-ES_tradnl" w:eastAsia="es-ES"/>
        </w:rPr>
        <w:t>“Proveedor”</w:t>
      </w:r>
      <w:r w:rsidR="00B0025D" w:rsidRPr="00B0025D">
        <w:rPr>
          <w:rFonts w:ascii="Arial" w:eastAsia="Times New Roman" w:hAnsi="Arial" w:cs="Arial"/>
          <w:bCs/>
          <w:i/>
          <w:iCs/>
          <w:snapToGrid w:val="0"/>
          <w:sz w:val="20"/>
          <w:szCs w:val="20"/>
          <w:lang w:val="es-ES_tradnl" w:eastAsia="es-ES"/>
        </w:rPr>
        <w:t xml:space="preserve"> no exhibe las garantías en los términos y condiciones indicados en este contrato de conformidad con el artículo 169, del Acuerdo General de Administración XIV/2019.</w:t>
      </w:r>
    </w:p>
    <w:p w14:paraId="5B988DC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68522D5"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95F6A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60255EFB"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14B9A0F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30621A00" w14:textId="3F75D57C"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994459">
        <w:rPr>
          <w:rFonts w:ascii="Arial" w:eastAsia="Times New Roman" w:hAnsi="Arial" w:cs="Arial"/>
          <w:bCs/>
          <w:snapToGrid w:val="0"/>
          <w:sz w:val="20"/>
          <w:szCs w:val="20"/>
          <w:lang w:val="es-ES_tradnl" w:eastAsia="es-ES"/>
        </w:rPr>
        <w:t>persona titular de la Dirección</w:t>
      </w:r>
      <w:r w:rsidR="00994459"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66093556" w14:textId="6EC3152F" w:rsidR="008635BF" w:rsidRDefault="00463AC9"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r w:rsidR="008635BF">
        <w:rPr>
          <w:rFonts w:ascii="Arial" w:eastAsia="Times New Roman" w:hAnsi="Arial" w:cs="Arial"/>
          <w:bCs/>
          <w:snapToGrid w:val="0"/>
          <w:sz w:val="20"/>
          <w:szCs w:val="20"/>
          <w:lang w:val="es-ES_tradnl" w:eastAsia="es-ES"/>
        </w:rPr>
        <w:t xml:space="preserve"> y respecto </w:t>
      </w:r>
      <w:r w:rsidR="008635BF" w:rsidRPr="003E34AD">
        <w:rPr>
          <w:rFonts w:ascii="Arial" w:eastAsia="Times New Roman" w:hAnsi="Arial" w:cs="Arial"/>
          <w:bCs/>
          <w:snapToGrid w:val="0"/>
          <w:sz w:val="20"/>
          <w:szCs w:val="20"/>
          <w:lang w:val="es-ES_tradnl" w:eastAsia="es-ES"/>
        </w:rPr>
        <w:t>a que los bienes serán de la calidad requerida, nuevos y originales.</w:t>
      </w:r>
    </w:p>
    <w:p w14:paraId="2338977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D17812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19C2959A"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8F20604" w14:textId="77777777" w:rsidR="00463AC9" w:rsidRPr="00D46A61" w:rsidRDefault="00463AC9" w:rsidP="00463AC9">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63AC9" w:rsidRPr="00D46A61" w14:paraId="3002D1B3" w14:textId="77777777" w:rsidTr="00C070EA">
        <w:trPr>
          <w:trHeight w:val="494"/>
          <w:jc w:val="center"/>
        </w:trPr>
        <w:tc>
          <w:tcPr>
            <w:tcW w:w="4395" w:type="dxa"/>
          </w:tcPr>
          <w:p w14:paraId="57DDB5D2"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F95287B"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83EE5CD"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7338CE7" w14:textId="77777777" w:rsidR="00463AC9" w:rsidRDefault="00463AC9" w:rsidP="00463AC9">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091CE5E" w14:textId="77777777" w:rsidR="00463AC9" w:rsidRPr="00AE011C" w:rsidRDefault="00463AC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463AC9" w:rsidRPr="00AE011C" w:rsidSect="000B67B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FEB47" w14:textId="77777777" w:rsidR="0045760A" w:rsidRDefault="0045760A" w:rsidP="00752047">
      <w:pPr>
        <w:spacing w:after="0" w:line="240" w:lineRule="auto"/>
      </w:pPr>
      <w:r>
        <w:separator/>
      </w:r>
    </w:p>
  </w:endnote>
  <w:endnote w:type="continuationSeparator" w:id="0">
    <w:p w14:paraId="7A6C1124" w14:textId="77777777" w:rsidR="0045760A" w:rsidRDefault="0045760A" w:rsidP="00752047">
      <w:pPr>
        <w:spacing w:after="0" w:line="240" w:lineRule="auto"/>
      </w:pPr>
      <w:r>
        <w:continuationSeparator/>
      </w:r>
    </w:p>
  </w:endnote>
  <w:endnote w:type="continuationNotice" w:id="1">
    <w:p w14:paraId="42EB3D50" w14:textId="77777777" w:rsidR="0045760A" w:rsidRDefault="00457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29346F8"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w:t>
    </w:r>
    <w:r w:rsidR="00EF3B91" w:rsidRPr="00055E87">
      <w:rPr>
        <w:rFonts w:ascii="Arial" w:hAnsi="Arial" w:cs="Arial"/>
        <w:sz w:val="10"/>
        <w:szCs w:val="10"/>
        <w:lang w:val="en-US"/>
      </w:rPr>
      <w:t>0</w:t>
    </w:r>
    <w:r w:rsidR="00EF3B91">
      <w:rPr>
        <w:rFonts w:ascii="Arial" w:hAnsi="Arial" w:cs="Arial"/>
        <w:sz w:val="10"/>
        <w:szCs w:val="10"/>
        <w:lang w:val="en-US"/>
      </w:rPr>
      <w:t>22</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8635BF">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7342B" w14:textId="77777777" w:rsidR="0045760A" w:rsidRDefault="0045760A" w:rsidP="00752047">
      <w:pPr>
        <w:spacing w:after="0" w:line="240" w:lineRule="auto"/>
      </w:pPr>
      <w:r>
        <w:separator/>
      </w:r>
    </w:p>
  </w:footnote>
  <w:footnote w:type="continuationSeparator" w:id="0">
    <w:p w14:paraId="723008AC" w14:textId="77777777" w:rsidR="0045760A" w:rsidRDefault="0045760A" w:rsidP="00752047">
      <w:pPr>
        <w:spacing w:after="0" w:line="240" w:lineRule="auto"/>
      </w:pPr>
      <w:r>
        <w:continuationSeparator/>
      </w:r>
    </w:p>
  </w:footnote>
  <w:footnote w:type="continuationNotice" w:id="1">
    <w:p w14:paraId="4F0BAA03" w14:textId="77777777" w:rsidR="0045760A" w:rsidRDefault="004576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9E666" w14:textId="6BF7531B" w:rsidR="008454F7" w:rsidRPr="008454F7" w:rsidRDefault="008454F7" w:rsidP="008454F7">
    <w:pPr>
      <w:pStyle w:val="Encabezado"/>
      <w:jc w:val="center"/>
      <w:rPr>
        <w:rFonts w:ascii="Arial Unicode MS" w:eastAsia="Arial Unicode MS" w:hAnsi="Arial Unicode MS" w:cs="Arial Unicode MS"/>
        <w:b/>
        <w:color w:val="7F7F7F" w:themeColor="text1" w:themeTint="80"/>
        <w:sz w:val="20"/>
        <w:szCs w:val="20"/>
      </w:rPr>
    </w:pPr>
    <w:r w:rsidRPr="008454F7">
      <w:rPr>
        <w:rFonts w:ascii="Arial Unicode MS" w:eastAsia="Arial Unicode MS" w:hAnsi="Arial Unicode MS" w:cs="Arial Unicode MS"/>
        <w:b/>
        <w:color w:val="7F7F7F" w:themeColor="text1" w:themeTint="80"/>
        <w:sz w:val="20"/>
        <w:szCs w:val="20"/>
      </w:rPr>
      <w:t>CONCURSO PÚBLICO SUMARIO SCJN/CPS/DGIF-DACCI/0</w:t>
    </w:r>
    <w:r w:rsidR="0041380D">
      <w:rPr>
        <w:rFonts w:ascii="Arial Unicode MS" w:eastAsia="Arial Unicode MS" w:hAnsi="Arial Unicode MS" w:cs="Arial Unicode MS"/>
        <w:b/>
        <w:color w:val="7F7F7F" w:themeColor="text1" w:themeTint="80"/>
        <w:sz w:val="20"/>
        <w:szCs w:val="20"/>
      </w:rPr>
      <w:t>22</w:t>
    </w:r>
    <w:r w:rsidRPr="008454F7">
      <w:rPr>
        <w:rFonts w:ascii="Arial Unicode MS" w:eastAsia="Arial Unicode MS" w:hAnsi="Arial Unicode MS" w:cs="Arial Unicode MS"/>
        <w:b/>
        <w:color w:val="7F7F7F" w:themeColor="text1" w:themeTint="80"/>
        <w:sz w:val="20"/>
        <w:szCs w:val="20"/>
      </w:rPr>
      <w:t>/2024</w:t>
    </w:r>
  </w:p>
  <w:p w14:paraId="40A54070" w14:textId="2C850D99" w:rsidR="00FB52D1" w:rsidRPr="008454F7" w:rsidRDefault="00F44FD9" w:rsidP="00F44FD9">
    <w:pPr>
      <w:pStyle w:val="Encabezado"/>
      <w:jc w:val="center"/>
    </w:pPr>
    <w:r w:rsidRPr="00F44FD9">
      <w:rPr>
        <w:rFonts w:ascii="Arial Unicode MS" w:eastAsia="Arial Unicode MS" w:hAnsi="Arial Unicode MS" w:cs="Arial Unicode MS"/>
        <w:b/>
        <w:color w:val="7F7F7F" w:themeColor="text1" w:themeTint="80"/>
        <w:sz w:val="20"/>
        <w:szCs w:val="20"/>
      </w:rPr>
      <w:t>“SUMINISTRO DE DIVERSO MATERIAL PARA SERVICIOS DE MANTENIMIENTO”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634A5"/>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7BF"/>
    <w:rsid w:val="000B6F59"/>
    <w:rsid w:val="000B749D"/>
    <w:rsid w:val="000C06DD"/>
    <w:rsid w:val="000C345C"/>
    <w:rsid w:val="000C471D"/>
    <w:rsid w:val="000D2C79"/>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06C1"/>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5E6"/>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1171"/>
    <w:rsid w:val="002E47D8"/>
    <w:rsid w:val="002E4BE2"/>
    <w:rsid w:val="002E586D"/>
    <w:rsid w:val="002F121F"/>
    <w:rsid w:val="002F127D"/>
    <w:rsid w:val="002F6A0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4922"/>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1380D"/>
    <w:rsid w:val="00425445"/>
    <w:rsid w:val="00427C63"/>
    <w:rsid w:val="00432005"/>
    <w:rsid w:val="0043515E"/>
    <w:rsid w:val="00440DE9"/>
    <w:rsid w:val="00441623"/>
    <w:rsid w:val="004423DD"/>
    <w:rsid w:val="00444E48"/>
    <w:rsid w:val="004466C1"/>
    <w:rsid w:val="004477FE"/>
    <w:rsid w:val="00455DE8"/>
    <w:rsid w:val="0045760A"/>
    <w:rsid w:val="00463AC9"/>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D67DD"/>
    <w:rsid w:val="004E236A"/>
    <w:rsid w:val="004E4901"/>
    <w:rsid w:val="004F178B"/>
    <w:rsid w:val="004F29AA"/>
    <w:rsid w:val="00502777"/>
    <w:rsid w:val="005075F0"/>
    <w:rsid w:val="00513951"/>
    <w:rsid w:val="00513A46"/>
    <w:rsid w:val="00516CDB"/>
    <w:rsid w:val="00523DEF"/>
    <w:rsid w:val="00525E78"/>
    <w:rsid w:val="00547BAE"/>
    <w:rsid w:val="00550B43"/>
    <w:rsid w:val="0055321F"/>
    <w:rsid w:val="005551DE"/>
    <w:rsid w:val="00560224"/>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360F"/>
    <w:rsid w:val="006A4C06"/>
    <w:rsid w:val="006A6031"/>
    <w:rsid w:val="006A6D3B"/>
    <w:rsid w:val="006A73F4"/>
    <w:rsid w:val="006A750D"/>
    <w:rsid w:val="006B13EA"/>
    <w:rsid w:val="006B16F7"/>
    <w:rsid w:val="006B2B0C"/>
    <w:rsid w:val="006B7A23"/>
    <w:rsid w:val="006C039D"/>
    <w:rsid w:val="006C2FEA"/>
    <w:rsid w:val="006C308E"/>
    <w:rsid w:val="006C6056"/>
    <w:rsid w:val="006E019B"/>
    <w:rsid w:val="006E263C"/>
    <w:rsid w:val="006E6F5F"/>
    <w:rsid w:val="006F2A57"/>
    <w:rsid w:val="006F4DDC"/>
    <w:rsid w:val="006F7304"/>
    <w:rsid w:val="00700689"/>
    <w:rsid w:val="00702764"/>
    <w:rsid w:val="0070369A"/>
    <w:rsid w:val="0071134E"/>
    <w:rsid w:val="0071226D"/>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21FF"/>
    <w:rsid w:val="007640D8"/>
    <w:rsid w:val="00773589"/>
    <w:rsid w:val="00781C3C"/>
    <w:rsid w:val="00783005"/>
    <w:rsid w:val="00783419"/>
    <w:rsid w:val="00783439"/>
    <w:rsid w:val="00783BF8"/>
    <w:rsid w:val="00784005"/>
    <w:rsid w:val="00786F1D"/>
    <w:rsid w:val="00787876"/>
    <w:rsid w:val="00790CDF"/>
    <w:rsid w:val="00791C54"/>
    <w:rsid w:val="00792E0C"/>
    <w:rsid w:val="00793BAC"/>
    <w:rsid w:val="007955D8"/>
    <w:rsid w:val="007A42D8"/>
    <w:rsid w:val="007A69BF"/>
    <w:rsid w:val="007B01B8"/>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3A0"/>
    <w:rsid w:val="00806F4B"/>
    <w:rsid w:val="00817387"/>
    <w:rsid w:val="00822B65"/>
    <w:rsid w:val="0082378D"/>
    <w:rsid w:val="00823BCE"/>
    <w:rsid w:val="00827FAD"/>
    <w:rsid w:val="008314BF"/>
    <w:rsid w:val="00833C3C"/>
    <w:rsid w:val="00835FC9"/>
    <w:rsid w:val="008368CC"/>
    <w:rsid w:val="00837694"/>
    <w:rsid w:val="0084076E"/>
    <w:rsid w:val="00842584"/>
    <w:rsid w:val="0084323C"/>
    <w:rsid w:val="008454F7"/>
    <w:rsid w:val="00851D75"/>
    <w:rsid w:val="00856DE0"/>
    <w:rsid w:val="00857A49"/>
    <w:rsid w:val="008635BF"/>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2485"/>
    <w:rsid w:val="008D4038"/>
    <w:rsid w:val="008D60A8"/>
    <w:rsid w:val="008E3837"/>
    <w:rsid w:val="008E3D81"/>
    <w:rsid w:val="008E50F8"/>
    <w:rsid w:val="008E69D0"/>
    <w:rsid w:val="008F4FB2"/>
    <w:rsid w:val="008F5916"/>
    <w:rsid w:val="00900D10"/>
    <w:rsid w:val="009021BF"/>
    <w:rsid w:val="0090303E"/>
    <w:rsid w:val="00904BF9"/>
    <w:rsid w:val="009063CC"/>
    <w:rsid w:val="0090684B"/>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030A"/>
    <w:rsid w:val="009F6DB8"/>
    <w:rsid w:val="00A02EDC"/>
    <w:rsid w:val="00A065F0"/>
    <w:rsid w:val="00A075A8"/>
    <w:rsid w:val="00A07AB6"/>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850DE"/>
    <w:rsid w:val="00A90D16"/>
    <w:rsid w:val="00A96535"/>
    <w:rsid w:val="00A97443"/>
    <w:rsid w:val="00AA1567"/>
    <w:rsid w:val="00AA6C21"/>
    <w:rsid w:val="00AB245C"/>
    <w:rsid w:val="00AB695A"/>
    <w:rsid w:val="00AC3AD8"/>
    <w:rsid w:val="00AC53A2"/>
    <w:rsid w:val="00AD547C"/>
    <w:rsid w:val="00AE011C"/>
    <w:rsid w:val="00AE0988"/>
    <w:rsid w:val="00AE1AC4"/>
    <w:rsid w:val="00AE4BC5"/>
    <w:rsid w:val="00AE61C1"/>
    <w:rsid w:val="00AE76FF"/>
    <w:rsid w:val="00AF1573"/>
    <w:rsid w:val="00AF5586"/>
    <w:rsid w:val="00B0025D"/>
    <w:rsid w:val="00B10EF9"/>
    <w:rsid w:val="00B16A66"/>
    <w:rsid w:val="00B177AC"/>
    <w:rsid w:val="00B20923"/>
    <w:rsid w:val="00B227FE"/>
    <w:rsid w:val="00B25219"/>
    <w:rsid w:val="00B30AC1"/>
    <w:rsid w:val="00B31538"/>
    <w:rsid w:val="00B322A4"/>
    <w:rsid w:val="00B37E6A"/>
    <w:rsid w:val="00B40D70"/>
    <w:rsid w:val="00B4536D"/>
    <w:rsid w:val="00B45F2C"/>
    <w:rsid w:val="00B46750"/>
    <w:rsid w:val="00B520FC"/>
    <w:rsid w:val="00B544AF"/>
    <w:rsid w:val="00B70828"/>
    <w:rsid w:val="00B73C9A"/>
    <w:rsid w:val="00B76546"/>
    <w:rsid w:val="00B765A2"/>
    <w:rsid w:val="00B82B0A"/>
    <w:rsid w:val="00B84926"/>
    <w:rsid w:val="00B85933"/>
    <w:rsid w:val="00B86D37"/>
    <w:rsid w:val="00B870A6"/>
    <w:rsid w:val="00B87B20"/>
    <w:rsid w:val="00B9271A"/>
    <w:rsid w:val="00B9446F"/>
    <w:rsid w:val="00B94CC2"/>
    <w:rsid w:val="00BA062D"/>
    <w:rsid w:val="00BA2833"/>
    <w:rsid w:val="00BA3CE1"/>
    <w:rsid w:val="00BA460A"/>
    <w:rsid w:val="00BA5CD8"/>
    <w:rsid w:val="00BB357C"/>
    <w:rsid w:val="00BB4F67"/>
    <w:rsid w:val="00BB7CED"/>
    <w:rsid w:val="00BC195B"/>
    <w:rsid w:val="00BC2A52"/>
    <w:rsid w:val="00BC597D"/>
    <w:rsid w:val="00BD0B50"/>
    <w:rsid w:val="00BD3A09"/>
    <w:rsid w:val="00BD7455"/>
    <w:rsid w:val="00BE06DA"/>
    <w:rsid w:val="00BE765E"/>
    <w:rsid w:val="00BF532B"/>
    <w:rsid w:val="00BF6B01"/>
    <w:rsid w:val="00C0178C"/>
    <w:rsid w:val="00C05A4B"/>
    <w:rsid w:val="00C0649F"/>
    <w:rsid w:val="00C07E8A"/>
    <w:rsid w:val="00C11BEA"/>
    <w:rsid w:val="00C11DAA"/>
    <w:rsid w:val="00C14667"/>
    <w:rsid w:val="00C1522D"/>
    <w:rsid w:val="00C2301A"/>
    <w:rsid w:val="00C31462"/>
    <w:rsid w:val="00C329A1"/>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1CCB"/>
    <w:rsid w:val="00CA0B86"/>
    <w:rsid w:val="00CA4471"/>
    <w:rsid w:val="00CB593B"/>
    <w:rsid w:val="00CB67F8"/>
    <w:rsid w:val="00CB6AEE"/>
    <w:rsid w:val="00CC0689"/>
    <w:rsid w:val="00CC0F2C"/>
    <w:rsid w:val="00CC17EF"/>
    <w:rsid w:val="00CC2A7B"/>
    <w:rsid w:val="00CC2AC3"/>
    <w:rsid w:val="00CC4EDB"/>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1654"/>
    <w:rsid w:val="00D5287D"/>
    <w:rsid w:val="00D538FD"/>
    <w:rsid w:val="00D57E5C"/>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58DB"/>
    <w:rsid w:val="00EC71AF"/>
    <w:rsid w:val="00ED49A4"/>
    <w:rsid w:val="00ED77BC"/>
    <w:rsid w:val="00EE064E"/>
    <w:rsid w:val="00EE3ACE"/>
    <w:rsid w:val="00EE6596"/>
    <w:rsid w:val="00EE78CE"/>
    <w:rsid w:val="00EF179D"/>
    <w:rsid w:val="00EF3B91"/>
    <w:rsid w:val="00EF3C10"/>
    <w:rsid w:val="00F026C3"/>
    <w:rsid w:val="00F02B5A"/>
    <w:rsid w:val="00F030F0"/>
    <w:rsid w:val="00F03D30"/>
    <w:rsid w:val="00F05FBD"/>
    <w:rsid w:val="00F06A59"/>
    <w:rsid w:val="00F076F9"/>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4FD9"/>
    <w:rsid w:val="00F46EAD"/>
    <w:rsid w:val="00F479A7"/>
    <w:rsid w:val="00F50CC8"/>
    <w:rsid w:val="00F50F30"/>
    <w:rsid w:val="00F553CC"/>
    <w:rsid w:val="00F55648"/>
    <w:rsid w:val="00F56A66"/>
    <w:rsid w:val="00F62EA0"/>
    <w:rsid w:val="00F62F93"/>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 w:val="00FF3E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link w:val="Prrafodelista"/>
    <w:uiPriority w:val="34"/>
    <w:qFormat/>
    <w:locked/>
    <w:rsid w:val="006A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6699</Words>
  <Characters>36848</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2024-06-21T17:59:00Z</dcterms:created>
  <dcterms:modified xsi:type="dcterms:W3CDTF">2024-06-21T17:59:00Z</dcterms:modified>
</cp:coreProperties>
</file>