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B831A" w14:textId="334943AC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 w:rsidR="0039260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17481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  <w:r w:rsidR="00795296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1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46B05C15" w:rsidR="00C451B3" w:rsidRPr="00FB5072" w:rsidRDefault="00B5447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PROPUESTA ECON</w:t>
      </w:r>
      <w:r w:rsidR="009A0EC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Ó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MICA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CF3B8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BAFD05D" w14:textId="3FE122C0" w:rsidR="00C451B3" w:rsidRPr="00CF3B8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F3B8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12D959B4" w14:textId="77777777" w:rsidR="00C451B3" w:rsidRPr="00CF3B8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064D7565" w14:textId="54082B86" w:rsidR="00C451B3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</w:p>
    <w:p w14:paraId="587A8F04" w14:textId="70CD7666" w:rsidR="00392608" w:rsidRDefault="00392608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4005173" w14:textId="1FB330CD" w:rsidR="007A10F4" w:rsidRDefault="00C528FC" w:rsidP="00ED7FAB">
      <w:pPr>
        <w:pStyle w:val="Prrafodelista"/>
        <w:numPr>
          <w:ilvl w:val="0"/>
          <w:numId w:val="2"/>
        </w:numPr>
        <w:spacing w:before="120" w:after="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La </w:t>
      </w:r>
      <w:r w:rsidR="00DB63E6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prestación del servicio </w:t>
      </w:r>
      <w:r w:rsidR="00C81A43">
        <w:rPr>
          <w:rFonts w:ascii="Arial" w:eastAsia="Times New Roman" w:hAnsi="Arial"/>
          <w:sz w:val="20"/>
          <w:szCs w:val="20"/>
          <w:lang w:val="es-ES" w:eastAsia="es-ES"/>
        </w:rPr>
        <w:t>relacionado con la obra pública denominado</w:t>
      </w:r>
      <w:r w:rsidR="00DB63E6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17481B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C81A43" w:rsidRPr="00C81A43">
        <w:rPr>
          <w:rFonts w:ascii="Arial" w:eastAsia="Times New Roman" w:hAnsi="Arial"/>
          <w:b/>
          <w:bCs/>
          <w:sz w:val="20"/>
          <w:szCs w:val="20"/>
          <w:lang w:eastAsia="es-ES"/>
        </w:rPr>
        <w:t>Diagnóstico integral en materia de accesibilidad de los inmuebles de la Suprema Corte de Justicia de la Nación</w:t>
      </w:r>
      <w:r w:rsidR="00984748" w:rsidRPr="00984748">
        <w:rPr>
          <w:rFonts w:ascii="Arial" w:eastAsia="Times New Roman" w:hAnsi="Arial"/>
          <w:b/>
          <w:bCs/>
          <w:sz w:val="20"/>
          <w:szCs w:val="20"/>
          <w:lang w:eastAsia="es-ES"/>
        </w:rPr>
        <w:t>, ubicados en la Ciudad de México</w:t>
      </w:r>
      <w:r w:rsidR="00984748" w:rsidRPr="00984748">
        <w:rPr>
          <w:rFonts w:ascii="Arial" w:eastAsia="Times New Roman" w:hAnsi="Arial"/>
          <w:b/>
          <w:bCs/>
          <w:sz w:val="20"/>
          <w:szCs w:val="20"/>
          <w:lang w:eastAsia="es-ES"/>
        </w:rPr>
        <w:t>”</w:t>
      </w:r>
      <w:r w:rsidR="0017481B" w:rsidRPr="00122CE3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17481B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626160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7A10F4">
        <w:rPr>
          <w:rFonts w:ascii="Arial" w:eastAsia="Times New Roman" w:hAnsi="Arial"/>
          <w:sz w:val="20"/>
          <w:szCs w:val="20"/>
          <w:lang w:val="es-ES" w:eastAsia="es-ES"/>
        </w:rPr>
        <w:t>en los siguientes inmuebles</w:t>
      </w:r>
      <w:r w:rsidR="009E0D8A">
        <w:rPr>
          <w:rFonts w:ascii="Arial" w:eastAsia="Times New Roman" w:hAnsi="Arial"/>
          <w:sz w:val="20"/>
          <w:szCs w:val="20"/>
          <w:lang w:val="es-ES" w:eastAsia="es-ES"/>
        </w:rPr>
        <w:t xml:space="preserve">: </w:t>
      </w:r>
    </w:p>
    <w:p w14:paraId="72593D62" w14:textId="77777777" w:rsidR="00DA3DDA" w:rsidRPr="00DA3DDA" w:rsidRDefault="00DA3DDA" w:rsidP="00DA3DDA">
      <w:pPr>
        <w:pStyle w:val="Prrafodelista"/>
        <w:numPr>
          <w:ilvl w:val="0"/>
          <w:numId w:val="12"/>
        </w:numPr>
        <w:spacing w:before="120" w:after="12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A3DDA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colonia Centro, código postal 06010, 06000, Alcaldía Cuauhtémoc, Ciudad de México (Partida 1).</w:t>
      </w:r>
    </w:p>
    <w:p w14:paraId="6494DA87" w14:textId="77777777" w:rsidR="00DA3DDA" w:rsidRPr="00DA3DDA" w:rsidRDefault="00DA3DDA" w:rsidP="00DA3DDA">
      <w:pPr>
        <w:pStyle w:val="Prrafodelista"/>
        <w:numPr>
          <w:ilvl w:val="0"/>
          <w:numId w:val="12"/>
        </w:numPr>
        <w:spacing w:before="120" w:after="12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A3DDA">
        <w:rPr>
          <w:rFonts w:ascii="Arial" w:eastAsia="Times New Roman" w:hAnsi="Arial"/>
          <w:sz w:val="20"/>
          <w:szCs w:val="20"/>
          <w:lang w:val="es-ES" w:eastAsia="es-ES"/>
        </w:rPr>
        <w:t xml:space="preserve">Edificio 5 de Febrero, ubicado en calle Chimalpopoca número 112, colonia Centro, código postal 06080, Alcaldía Cuauhtémoc, Ciudad de México (Partida 2). </w:t>
      </w:r>
    </w:p>
    <w:p w14:paraId="3D905C9D" w14:textId="77777777" w:rsidR="00DA3DDA" w:rsidRPr="00DA3DDA" w:rsidRDefault="00DA3DDA" w:rsidP="00DA3DDA">
      <w:pPr>
        <w:pStyle w:val="Prrafodelista"/>
        <w:numPr>
          <w:ilvl w:val="0"/>
          <w:numId w:val="12"/>
        </w:numPr>
        <w:spacing w:before="120" w:after="12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A3DDA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código postal 06010, 06000, Alcaldía Cuauhtémoc, Ciudad de México (Partida 3).</w:t>
      </w:r>
    </w:p>
    <w:p w14:paraId="663DB844" w14:textId="77777777" w:rsidR="00DA3DDA" w:rsidRPr="00DA3DDA" w:rsidRDefault="00DA3DDA" w:rsidP="00DA3DDA">
      <w:pPr>
        <w:pStyle w:val="Prrafodelista"/>
        <w:numPr>
          <w:ilvl w:val="0"/>
          <w:numId w:val="12"/>
        </w:numPr>
        <w:spacing w:before="120" w:after="12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A3DDA">
        <w:rPr>
          <w:rFonts w:ascii="Arial" w:eastAsia="Times New Roman" w:hAnsi="Arial"/>
          <w:sz w:val="20"/>
          <w:szCs w:val="20"/>
          <w:lang w:val="es-ES" w:eastAsia="es-ES"/>
        </w:rPr>
        <w:t>Edificio República de El Salvador, ubicado en calle República de El Salvador número 56, colonia Centro, código postal 06010, 06000, Alcaldía Cuauhtémoc, Ciudad de México (Partida 4).</w:t>
      </w:r>
    </w:p>
    <w:p w14:paraId="68D3029C" w14:textId="77777777" w:rsidR="00DA3DDA" w:rsidRPr="00DA3DDA" w:rsidRDefault="00DA3DDA" w:rsidP="00DA3DDA">
      <w:pPr>
        <w:pStyle w:val="Prrafodelista"/>
        <w:numPr>
          <w:ilvl w:val="0"/>
          <w:numId w:val="12"/>
        </w:numPr>
        <w:spacing w:before="120" w:after="12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A3DDA">
        <w:rPr>
          <w:rFonts w:ascii="Arial" w:eastAsia="Times New Roman" w:hAnsi="Arial"/>
          <w:sz w:val="20"/>
          <w:szCs w:val="20"/>
          <w:lang w:val="es-ES" w:eastAsia="es-ES"/>
        </w:rPr>
        <w:t xml:space="preserve">Edificio Revolución, ubicado en avenida Revolución número 1508, colonia Guadalupe </w:t>
      </w:r>
      <w:proofErr w:type="spellStart"/>
      <w:r w:rsidRPr="00DA3DDA">
        <w:rPr>
          <w:rFonts w:ascii="Arial" w:eastAsia="Times New Roman" w:hAnsi="Arial"/>
          <w:sz w:val="20"/>
          <w:szCs w:val="20"/>
          <w:lang w:val="es-ES" w:eastAsia="es-ES"/>
        </w:rPr>
        <w:t>Inn</w:t>
      </w:r>
      <w:proofErr w:type="spellEnd"/>
      <w:r w:rsidRPr="00DA3DDA">
        <w:rPr>
          <w:rFonts w:ascii="Arial" w:eastAsia="Times New Roman" w:hAnsi="Arial"/>
          <w:sz w:val="20"/>
          <w:szCs w:val="20"/>
          <w:lang w:val="es-ES" w:eastAsia="es-ES"/>
        </w:rPr>
        <w:t>, código postal 01020, Alcaldía Álvaro Obregón, Ciudad de México (Partida 5).</w:t>
      </w:r>
    </w:p>
    <w:p w14:paraId="4D624740" w14:textId="021808D2" w:rsidR="003672AD" w:rsidRDefault="00DA3DDA" w:rsidP="00DA3DDA">
      <w:pPr>
        <w:pStyle w:val="Prrafodelista"/>
        <w:numPr>
          <w:ilvl w:val="0"/>
          <w:numId w:val="12"/>
        </w:numPr>
        <w:spacing w:before="120" w:after="120"/>
        <w:ind w:left="113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A3DDA">
        <w:rPr>
          <w:rFonts w:ascii="Arial" w:eastAsia="Times New Roman" w:hAnsi="Arial"/>
          <w:sz w:val="20"/>
          <w:szCs w:val="20"/>
          <w:lang w:val="es-ES" w:eastAsia="es-ES"/>
        </w:rPr>
        <w:t>Almacén General de Zaragoza, ubicado en calzada Ignacio Zaragoza número 1340, colonia Juan Escutia, código postal 09100, Alcaldía Iztapalapa, Ciudad de México (Partida 6).</w:t>
      </w:r>
    </w:p>
    <w:p w14:paraId="01B4E254" w14:textId="77777777" w:rsidR="00560E37" w:rsidRDefault="008033C8" w:rsidP="00560E37">
      <w:pPr>
        <w:pStyle w:val="Prrafodelista"/>
        <w:spacing w:before="120" w:after="0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033C8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</w:t>
      </w:r>
      <w:r w:rsidR="00626160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="00626160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</w:t>
      </w:r>
      <w:r w:rsidR="00C20B10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3</w:t>
      </w:r>
      <w:r w:rsidR="00476279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A31970" w:rsidRPr="00A31970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</w:t>
      </w:r>
      <w:r w:rsidR="00626160" w:rsidRPr="00A31970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3454363C" w14:textId="1308ADCC" w:rsidR="00560E37" w:rsidRDefault="00560E37" w:rsidP="00EB0432">
      <w:pPr>
        <w:pStyle w:val="Prrafodelista"/>
        <w:numPr>
          <w:ilvl w:val="0"/>
          <w:numId w:val="2"/>
        </w:numPr>
        <w:spacing w:before="120" w:after="0"/>
        <w:ind w:left="714" w:hanging="357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60E37">
        <w:rPr>
          <w:rFonts w:ascii="Arial" w:eastAsia="Times New Roman" w:hAnsi="Arial"/>
          <w:sz w:val="20"/>
          <w:szCs w:val="20"/>
          <w:lang w:val="es-ES" w:eastAsia="es-ES"/>
        </w:rPr>
        <w:t>Los precios unitarios son los indicados en el Apéndice A que forma parte integral de la propuesta económica y 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55233553" w14:textId="77777777" w:rsidR="00560E37" w:rsidRPr="00560E37" w:rsidRDefault="00560E37" w:rsidP="00560E37">
      <w:pPr>
        <w:pStyle w:val="Prrafodelista"/>
        <w:spacing w:before="120" w:after="0"/>
        <w:ind w:left="71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309F3BD2" w14:textId="5C3FBD43" w:rsidR="00392608" w:rsidRDefault="00392608">
      <w:pPr>
        <w:pStyle w:val="Prrafodelista"/>
        <w:numPr>
          <w:ilvl w:val="0"/>
          <w:numId w:val="2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La vigencia de la propuestas técnica y económica es de </w:t>
      </w:r>
      <w:r w:rsidR="006D7180">
        <w:rPr>
          <w:rFonts w:ascii="Arial" w:eastAsia="Times New Roman" w:hAnsi="Arial"/>
          <w:sz w:val="20"/>
          <w:szCs w:val="20"/>
          <w:lang w:val="es-ES" w:eastAsia="es-ES"/>
        </w:rPr>
        <w:t>treinta</w:t>
      </w:r>
      <w:r w:rsidRPr="00DB63E6">
        <w:rPr>
          <w:rFonts w:ascii="Arial" w:eastAsia="Times New Roman" w:hAnsi="Arial"/>
          <w:sz w:val="20"/>
          <w:szCs w:val="20"/>
          <w:lang w:val="es-ES" w:eastAsia="es-ES"/>
        </w:rPr>
        <w:t xml:space="preserve"> días hábiles (mínima), </w:t>
      </w:r>
      <w:r w:rsidR="00DB63E6" w:rsidRPr="00DB63E6">
        <w:rPr>
          <w:rFonts w:ascii="Arial" w:eastAsia="Times New Roman" w:hAnsi="Arial"/>
          <w:sz w:val="20"/>
          <w:szCs w:val="20"/>
          <w:lang w:val="es-ES" w:eastAsia="es-ES"/>
        </w:rPr>
        <w:t>contados a partir del día hábil siguiente a la fecha de su entrega</w:t>
      </w:r>
      <w:r w:rsidR="006279E5">
        <w:rPr>
          <w:rFonts w:ascii="Arial" w:eastAsia="Times New Roman" w:hAnsi="Arial"/>
          <w:sz w:val="20"/>
          <w:szCs w:val="20"/>
          <w:lang w:val="es-ES" w:eastAsia="es-ES"/>
        </w:rPr>
        <w:t>.</w:t>
      </w:r>
    </w:p>
    <w:p w14:paraId="12DE52D5" w14:textId="77777777" w:rsidR="00DB63E6" w:rsidRPr="00DB63E6" w:rsidRDefault="00DB63E6" w:rsidP="001077FA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1486ACB2" w14:textId="4FA1B431" w:rsidR="00C81A43" w:rsidRPr="00C81A43" w:rsidRDefault="00392608" w:rsidP="00FD77B1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FD77B1">
        <w:rPr>
          <w:rFonts w:ascii="Arial" w:eastAsia="Times New Roman" w:hAnsi="Arial"/>
          <w:sz w:val="20"/>
          <w:szCs w:val="20"/>
          <w:lang w:val="es-ES" w:eastAsia="es-ES"/>
        </w:rPr>
        <w:t>Mi representada (Nombre de la empresa participante) manifiesta y acepta que el plazo de ejecución</w:t>
      </w:r>
      <w:r w:rsidR="008355E7" w:rsidRPr="00FD77B1">
        <w:rPr>
          <w:rFonts w:ascii="Arial" w:eastAsia="Times New Roman" w:hAnsi="Arial"/>
          <w:sz w:val="20"/>
          <w:szCs w:val="20"/>
          <w:lang w:val="es-ES" w:eastAsia="es-ES"/>
        </w:rPr>
        <w:t xml:space="preserve"> será</w:t>
      </w:r>
      <w:r w:rsidR="00C81A4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81A43" w:rsidRPr="00C81A43">
        <w:rPr>
          <w:rFonts w:ascii="Arial" w:eastAsia="Times New Roman" w:hAnsi="Arial"/>
          <w:sz w:val="20"/>
          <w:szCs w:val="20"/>
          <w:lang w:val="es-ES" w:eastAsia="es-ES"/>
        </w:rPr>
        <w:t>a partir de la notificación de fallo</w:t>
      </w:r>
      <w:r w:rsidR="00C81A43">
        <w:rPr>
          <w:rFonts w:ascii="Arial" w:eastAsia="Times New Roman" w:hAnsi="Arial"/>
          <w:sz w:val="20"/>
          <w:szCs w:val="20"/>
          <w:lang w:val="es-ES" w:eastAsia="es-ES"/>
        </w:rPr>
        <w:t>, conforme a lo siguiente:</w:t>
      </w:r>
    </w:p>
    <w:p w14:paraId="7BB257AE" w14:textId="77777777" w:rsidR="00C81A43" w:rsidRPr="00C81A43" w:rsidRDefault="00C81A43" w:rsidP="00C81A43">
      <w:pPr>
        <w:pStyle w:val="Prrafodelista"/>
        <w:rPr>
          <w:rFonts w:ascii="Arial" w:eastAsia="Times New Roman" w:hAnsi="Arial"/>
          <w:bCs/>
          <w:sz w:val="20"/>
          <w:szCs w:val="20"/>
          <w:lang w:val="es-ES" w:eastAsia="es-ES"/>
        </w:rPr>
      </w:pPr>
    </w:p>
    <w:p w14:paraId="5B8B72AD" w14:textId="7DBF364D" w:rsidR="00C81A43" w:rsidRPr="00C81A43" w:rsidRDefault="00C81A43" w:rsidP="00C81A43">
      <w:pPr>
        <w:pStyle w:val="Prrafodelista"/>
        <w:numPr>
          <w:ilvl w:val="0"/>
          <w:numId w:val="10"/>
        </w:numPr>
        <w:spacing w:before="120" w:after="120"/>
        <w:ind w:left="1276" w:hanging="357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Edificio Alterno (Partida 1)</w:t>
      </w:r>
      <w:r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: </w:t>
      </w: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60 días naturales</w:t>
      </w:r>
    </w:p>
    <w:p w14:paraId="0FBB3137" w14:textId="4A8E81CF" w:rsidR="00C81A43" w:rsidRPr="00C81A43" w:rsidRDefault="00C81A43" w:rsidP="00C81A43">
      <w:pPr>
        <w:pStyle w:val="Prrafodelista"/>
        <w:numPr>
          <w:ilvl w:val="0"/>
          <w:numId w:val="10"/>
        </w:numPr>
        <w:spacing w:before="120" w:after="120"/>
        <w:ind w:left="1276" w:hanging="357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lastRenderedPageBreak/>
        <w:t>Edificio 5 de Febrero (Partida 2)</w:t>
      </w:r>
      <w:r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: </w:t>
      </w: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60 días naturales</w:t>
      </w:r>
    </w:p>
    <w:p w14:paraId="1B5BC0B5" w14:textId="59B72A01" w:rsidR="00C81A43" w:rsidRPr="00C81A43" w:rsidRDefault="00C81A43" w:rsidP="00C81A43">
      <w:pPr>
        <w:pStyle w:val="Prrafodelista"/>
        <w:numPr>
          <w:ilvl w:val="0"/>
          <w:numId w:val="10"/>
        </w:numPr>
        <w:spacing w:before="120" w:after="120"/>
        <w:ind w:left="1276" w:hanging="357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Edificio Bolívar (Partida 3)</w:t>
      </w:r>
      <w:r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: </w:t>
      </w: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40 días naturales</w:t>
      </w:r>
    </w:p>
    <w:p w14:paraId="29FC9C4C" w14:textId="63FD8FE2" w:rsidR="00C81A43" w:rsidRPr="00C81A43" w:rsidRDefault="00C81A43" w:rsidP="00C81A43">
      <w:pPr>
        <w:pStyle w:val="Prrafodelista"/>
        <w:numPr>
          <w:ilvl w:val="0"/>
          <w:numId w:val="10"/>
        </w:numPr>
        <w:spacing w:before="120" w:after="120"/>
        <w:ind w:left="1276" w:hanging="357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Edificio República de El Salvador (Partida 4)</w:t>
      </w:r>
      <w:r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: </w:t>
      </w: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40 días naturales</w:t>
      </w:r>
    </w:p>
    <w:p w14:paraId="2E10FD56" w14:textId="77777777" w:rsidR="00DA3DDA" w:rsidRPr="00C81A43" w:rsidRDefault="00DA3DDA" w:rsidP="00DA3DDA">
      <w:pPr>
        <w:pStyle w:val="Prrafodelista"/>
        <w:numPr>
          <w:ilvl w:val="0"/>
          <w:numId w:val="10"/>
        </w:numPr>
        <w:spacing w:before="120" w:after="120"/>
        <w:ind w:left="1276" w:hanging="357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Edificio </w:t>
      </w:r>
      <w:r>
        <w:rPr>
          <w:rFonts w:ascii="Arial" w:eastAsia="Times New Roman" w:hAnsi="Arial"/>
          <w:bCs/>
          <w:sz w:val="20"/>
          <w:szCs w:val="20"/>
          <w:lang w:val="es-ES" w:eastAsia="es-ES"/>
        </w:rPr>
        <w:t>Revolución</w:t>
      </w: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(Partida 5)</w:t>
      </w:r>
      <w:r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: </w:t>
      </w: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40 días naturales</w:t>
      </w:r>
    </w:p>
    <w:p w14:paraId="5CD38E1A" w14:textId="77777777" w:rsidR="00DA3DDA" w:rsidRDefault="00DA3DDA" w:rsidP="00DA3DDA">
      <w:pPr>
        <w:pStyle w:val="Prrafodelista"/>
        <w:numPr>
          <w:ilvl w:val="0"/>
          <w:numId w:val="10"/>
        </w:numPr>
        <w:spacing w:before="120" w:after="120"/>
        <w:ind w:left="1276" w:hanging="357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Almacén General </w:t>
      </w:r>
      <w:r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de Zaragoza </w:t>
      </w: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(Partida 6)</w:t>
      </w:r>
      <w:r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: </w:t>
      </w: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40 días naturales</w:t>
      </w:r>
    </w:p>
    <w:p w14:paraId="0D9BED4D" w14:textId="77777777" w:rsidR="00C81A43" w:rsidRPr="00C81A43" w:rsidRDefault="00C81A43" w:rsidP="00C81A43">
      <w:pPr>
        <w:pStyle w:val="Prrafodelista"/>
        <w:rPr>
          <w:rFonts w:ascii="Arial" w:eastAsia="Times New Roman" w:hAnsi="Arial"/>
          <w:bCs/>
          <w:sz w:val="20"/>
          <w:szCs w:val="20"/>
          <w:lang w:val="es-ES" w:eastAsia="es-ES"/>
        </w:rPr>
      </w:pPr>
    </w:p>
    <w:p w14:paraId="7503475A" w14:textId="77777777" w:rsidR="00C81A43" w:rsidRPr="00C81A43" w:rsidRDefault="00C81A43" w:rsidP="00C81A43">
      <w:pPr>
        <w:pStyle w:val="Prrafodelista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bookmarkStart w:id="0" w:name="_Hlk171284357"/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En las partidas donde el plazo de ejecución es de 60 días naturales, se deberá tomar en consideración que 20 días naturales previos a la conclusión del contrato la persona prestadora de servicios deberá entregar un documento preliminar a revisión por parte de la persona Administradora del contrato y la Unidad General de Conocimiento Científico y Derechos Humanos de la Suprema Corte de Justicia de la Nación con la finalidad de realizar observaciones para su atención dentro del plazo contractual.</w:t>
      </w:r>
    </w:p>
    <w:p w14:paraId="28D5C9EF" w14:textId="77777777" w:rsidR="00C81A43" w:rsidRDefault="00C81A43" w:rsidP="00C81A43">
      <w:pPr>
        <w:pStyle w:val="Prrafodelista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</w:p>
    <w:p w14:paraId="19D5341F" w14:textId="67D671BA" w:rsidR="00C81A43" w:rsidRPr="00C81A43" w:rsidRDefault="00C81A43" w:rsidP="00C81A43">
      <w:pPr>
        <w:pStyle w:val="Prrafodelista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En las partidas donde el plazo de ejecución es de 40 días naturales, se deberá tomar en consideración que 10 días naturales previos a la conclusión del contrato la persona prestadora de servicios deberá entregar un documento preliminar a revisión por parte del Administrador del Contrato y la Unidad General de Conocimiento Científico y Derechos Humanos de la Suprema Corte de Justicia de la Nación con la finalidad de realizar observaciones para su atención dentro del plazo contractual.</w:t>
      </w:r>
    </w:p>
    <w:p w14:paraId="0D6D4B2E" w14:textId="77777777" w:rsidR="00C81A43" w:rsidRDefault="00C81A43" w:rsidP="00C81A43">
      <w:pPr>
        <w:pStyle w:val="Prrafodelista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</w:p>
    <w:p w14:paraId="233D3672" w14:textId="2CB095BD" w:rsidR="00C81A43" w:rsidRPr="00C81A43" w:rsidRDefault="00C81A43" w:rsidP="00C81A43">
      <w:pPr>
        <w:pStyle w:val="Prrafodelista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En caso de que cualquiera de los plazos fenezca en día inhábil, la entrega se recorrerá al día hábil inmediato siguiente.</w:t>
      </w:r>
    </w:p>
    <w:bookmarkEnd w:id="0"/>
    <w:p w14:paraId="6EC176CC" w14:textId="77777777" w:rsidR="001C6016" w:rsidRPr="00C81A43" w:rsidRDefault="001C6016" w:rsidP="001C6016">
      <w:pPr>
        <w:pStyle w:val="Prrafodelista"/>
        <w:rPr>
          <w:rFonts w:ascii="Arial" w:eastAsia="Times New Roman" w:hAnsi="Arial"/>
          <w:sz w:val="20"/>
          <w:szCs w:val="20"/>
          <w:lang w:eastAsia="es-ES"/>
        </w:rPr>
      </w:pPr>
    </w:p>
    <w:p w14:paraId="7EA091D4" w14:textId="3093AC2E" w:rsidR="008E06FC" w:rsidRPr="00C81A43" w:rsidRDefault="00DB63E6" w:rsidP="009C2142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C81A43">
        <w:rPr>
          <w:rFonts w:ascii="Arial" w:eastAsia="Times New Roman" w:hAnsi="Arial"/>
          <w:sz w:val="20"/>
          <w:szCs w:val="20"/>
          <w:lang w:val="es-ES" w:eastAsia="es-ES"/>
        </w:rPr>
        <w:t>(</w:t>
      </w:r>
      <w:r w:rsidR="00392608" w:rsidRPr="00C81A43">
        <w:rPr>
          <w:rFonts w:ascii="Arial" w:eastAsia="Times New Roman" w:hAnsi="Arial"/>
          <w:sz w:val="20"/>
          <w:szCs w:val="20"/>
          <w:lang w:val="es-ES" w:eastAsia="es-ES"/>
        </w:rPr>
        <w:t>Nombre de la empresa participante) acepta la forma de pago</w:t>
      </w:r>
      <w:r w:rsidR="00A64529" w:rsidRPr="00C81A43">
        <w:rPr>
          <w:rFonts w:ascii="Arial" w:eastAsia="Times New Roman" w:hAnsi="Arial"/>
          <w:sz w:val="20"/>
          <w:szCs w:val="20"/>
          <w:lang w:val="es-ES" w:eastAsia="es-ES"/>
        </w:rPr>
        <w:t xml:space="preserve"> que será </w:t>
      </w:r>
      <w:r w:rsidR="00C81A43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C81A43"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cien por ciento contra entrega del (de los) Dictamen (es) Integral (es) de Accesibilidad por cada partida, conforme al Anexo Técnico (</w:t>
      </w:r>
      <w:r w:rsidR="00C81A43" w:rsidRPr="00C81A43">
        <w:rPr>
          <w:rFonts w:ascii="Arial" w:eastAsia="Times New Roman" w:hAnsi="Arial"/>
          <w:b/>
          <w:sz w:val="20"/>
          <w:szCs w:val="20"/>
          <w:lang w:val="es-ES" w:eastAsia="es-ES"/>
        </w:rPr>
        <w:t>Anexo 1</w:t>
      </w:r>
      <w:r w:rsidR="00C81A43"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) y a entera satisfacción de la Suprema Corte de Justicia de la Nación.</w:t>
      </w:r>
    </w:p>
    <w:p w14:paraId="66116D03" w14:textId="77777777" w:rsidR="00C81A43" w:rsidRPr="00C81A43" w:rsidRDefault="00C81A43" w:rsidP="00C81A43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18A917B" w14:textId="28077CE2" w:rsidR="00554CD9" w:rsidRDefault="00EE32A1" w:rsidP="00145BE7">
      <w:pPr>
        <w:pStyle w:val="Prrafodelista"/>
        <w:numPr>
          <w:ilvl w:val="0"/>
          <w:numId w:val="2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Mi representada otorgará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garantía por un mínimo 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>de doce meses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 a partir de la fecha de recepción de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l servicio 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 xml:space="preserve">a entera satisfacción de la Suprema Corte de Justicia de la Nación, </w:t>
      </w:r>
      <w:r w:rsidR="008143EC" w:rsidRPr="008143EC">
        <w:rPr>
          <w:rFonts w:ascii="Arial" w:eastAsia="Times New Roman" w:hAnsi="Arial"/>
          <w:sz w:val="20"/>
          <w:szCs w:val="20"/>
          <w:lang w:eastAsia="es-ES"/>
        </w:rPr>
        <w:t>respecto a la calidad de</w:t>
      </w:r>
      <w:r w:rsidR="00A64529">
        <w:rPr>
          <w:rFonts w:ascii="Arial" w:eastAsia="Times New Roman" w:hAnsi="Arial"/>
          <w:sz w:val="20"/>
          <w:szCs w:val="20"/>
          <w:lang w:eastAsia="es-ES"/>
        </w:rPr>
        <w:t xml:space="preserve">l servicio </w:t>
      </w:r>
      <w:r w:rsidR="008143EC" w:rsidRPr="008143EC">
        <w:rPr>
          <w:rFonts w:ascii="Arial" w:eastAsia="Times New Roman" w:hAnsi="Arial"/>
          <w:sz w:val="20"/>
          <w:szCs w:val="20"/>
          <w:lang w:eastAsia="es-ES"/>
        </w:rPr>
        <w:t>ejecutado</w:t>
      </w:r>
      <w:r w:rsidR="00554CD9" w:rsidRPr="00554CD9">
        <w:rPr>
          <w:rFonts w:ascii="Arial" w:eastAsia="Times New Roman" w:hAnsi="Arial"/>
          <w:sz w:val="20"/>
          <w:szCs w:val="20"/>
          <w:lang w:val="es-ES" w:eastAsia="es-ES"/>
        </w:rPr>
        <w:t>.</w:t>
      </w:r>
      <w:r w:rsidR="00554CD9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</w:p>
    <w:p w14:paraId="6D76ABA5" w14:textId="231CA69A" w:rsidR="00655A16" w:rsidRDefault="003E2E6D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bookmarkStart w:id="1" w:name="_Hlk169793968"/>
      <w:r>
        <w:rPr>
          <w:rFonts w:ascii="Arial" w:eastAsia="Times New Roman" w:hAnsi="Arial" w:cs="Times New Roman"/>
          <w:sz w:val="20"/>
          <w:szCs w:val="20"/>
          <w:lang w:val="es-ES" w:eastAsia="es-ES"/>
        </w:rPr>
        <w:t>Adjunto</w:t>
      </w:r>
      <w:r w:rsidR="00655A16" w:rsidRPr="00655A16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como parte de 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la</w:t>
      </w:r>
      <w:r w:rsidR="00655A16" w:rsidRPr="00655A16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propuesta económica, las constancias solicitadas en el numeral </w:t>
      </w:r>
      <w:r w:rsidR="00655A16">
        <w:rPr>
          <w:rFonts w:ascii="Arial" w:eastAsia="Times New Roman" w:hAnsi="Arial" w:cs="Times New Roman"/>
          <w:sz w:val="20"/>
          <w:szCs w:val="20"/>
          <w:lang w:val="es-ES" w:eastAsia="es-ES"/>
        </w:rPr>
        <w:t>9.</w:t>
      </w:r>
      <w:r>
        <w:rPr>
          <w:rFonts w:ascii="Arial" w:eastAsia="Times New Roman" w:hAnsi="Arial" w:cs="Times New Roman"/>
          <w:sz w:val="20"/>
          <w:szCs w:val="20"/>
          <w:lang w:val="es-ES" w:eastAsia="es-ES"/>
        </w:rPr>
        <w:t>7</w:t>
      </w:r>
      <w:r w:rsidR="00655A16" w:rsidRPr="00655A16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 la convocatoria/bases</w:t>
      </w:r>
      <w:bookmarkEnd w:id="1"/>
      <w:r w:rsidR="00655A16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1FCB293" w14:textId="77777777" w:rsidR="00655A16" w:rsidRDefault="00655A16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649D4BED" w14:textId="7CA3C655" w:rsidR="00C451B3" w:rsidRPr="00FB5072" w:rsidRDefault="00C451B3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1077FA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7E44168" w14:textId="488988D3" w:rsidR="00516C95" w:rsidRDefault="00A72513" w:rsidP="00F24E07">
      <w:pPr>
        <w:spacing w:after="0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</w:t>
      </w:r>
      <w:r w:rsidR="00F24E07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</w:p>
    <w:p w14:paraId="292FF040" w14:textId="77777777" w:rsidR="00C91095" w:rsidRPr="00FB5072" w:rsidRDefault="00C91095" w:rsidP="002548B4">
      <w:pPr>
        <w:spacing w:after="0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0C1AD33" w14:textId="77777777" w:rsidR="00591162" w:rsidRDefault="00591162" w:rsidP="00F24E07">
      <w:pPr>
        <w:spacing w:after="0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BFFBBE2" w14:textId="77777777" w:rsidR="003E2E6D" w:rsidRDefault="003E2E6D" w:rsidP="00F24E07">
      <w:pPr>
        <w:spacing w:after="0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4461759" w14:textId="77777777" w:rsidR="00DA3DDA" w:rsidRDefault="00DA3DDA" w:rsidP="00F24E07">
      <w:pPr>
        <w:spacing w:after="0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D0422C4" w14:textId="77777777" w:rsidR="00DA3DDA" w:rsidRDefault="00DA3DDA" w:rsidP="00F24E07">
      <w:pPr>
        <w:spacing w:after="0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E681EDE" w14:textId="77777777" w:rsidR="00DA3DDA" w:rsidRDefault="00DA3DDA" w:rsidP="00F24E07">
      <w:pPr>
        <w:spacing w:after="0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37789033" w14:textId="77777777" w:rsidR="00DA3DDA" w:rsidRDefault="00DA3DDA" w:rsidP="00F24E07">
      <w:pPr>
        <w:spacing w:after="0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8AD66AF" w14:textId="77777777" w:rsidR="00DA3DDA" w:rsidRDefault="00DA3DDA" w:rsidP="00F24E07">
      <w:pPr>
        <w:spacing w:after="0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712181D" w14:textId="77777777" w:rsidR="00984748" w:rsidRDefault="00984748" w:rsidP="00F24E07">
      <w:pPr>
        <w:spacing w:after="0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4DF08F99" w:rsidR="00FB5072" w:rsidRPr="00FB5072" w:rsidRDefault="00FB5072" w:rsidP="001077FA">
      <w:pPr>
        <w:spacing w:after="0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lastRenderedPageBreak/>
        <w:t>TEXTO PARA PERSONA FÍSICA</w:t>
      </w:r>
    </w:p>
    <w:p w14:paraId="39CA60E4" w14:textId="6017DB80" w:rsidR="00A53937" w:rsidRPr="00FB5072" w:rsidRDefault="00A53937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PROPUESTA </w:t>
      </w:r>
      <w:r w:rsidR="00A3702A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ECONÓMICA</w:t>
      </w:r>
    </w:p>
    <w:p w14:paraId="12AF2137" w14:textId="4E46CACB" w:rsidR="00C91095" w:rsidRPr="00FB5072" w:rsidRDefault="00C91095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1077FA">
      <w:pPr>
        <w:spacing w:after="0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1077FA">
      <w:pPr>
        <w:spacing w:after="0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1077FA">
      <w:pPr>
        <w:spacing w:after="0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1077FA">
      <w:pPr>
        <w:spacing w:after="0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1FEEF3F5" w14:textId="29D0FF52" w:rsidR="00A3244A" w:rsidRDefault="00C91095" w:rsidP="001077FA">
      <w:pPr>
        <w:spacing w:after="0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or mi propio derecho, por medio del presente manifiesto bajo protesta de decir verdad y apercibido de las penas en que incurren los que declaran falsamente ante autoridad distinta a la judicial, que</w:t>
      </w:r>
      <w:r w:rsidR="00392608">
        <w:rPr>
          <w:rFonts w:ascii="Arial" w:eastAsia="Times New Roman" w:hAnsi="Arial" w:cs="Times New Roman"/>
          <w:sz w:val="20"/>
          <w:szCs w:val="20"/>
          <w:lang w:val="es-ES" w:eastAsia="es-ES"/>
        </w:rPr>
        <w:t>: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</w:p>
    <w:p w14:paraId="446B6BA6" w14:textId="5A0A4C37" w:rsidR="00C81A43" w:rsidRDefault="005E6D25" w:rsidP="00DA3DDA">
      <w:pPr>
        <w:pStyle w:val="Prrafodelista"/>
        <w:numPr>
          <w:ilvl w:val="0"/>
          <w:numId w:val="14"/>
        </w:numPr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143EC">
        <w:rPr>
          <w:rFonts w:ascii="Arial" w:eastAsia="Times New Roman" w:hAnsi="Arial"/>
          <w:sz w:val="20"/>
          <w:szCs w:val="20"/>
          <w:lang w:val="es-ES" w:eastAsia="es-ES"/>
        </w:rPr>
        <w:t xml:space="preserve">La prestación del servicio </w:t>
      </w:r>
      <w:r w:rsidR="00C81A43">
        <w:rPr>
          <w:rFonts w:ascii="Arial" w:eastAsia="Times New Roman" w:hAnsi="Arial"/>
          <w:sz w:val="20"/>
          <w:szCs w:val="20"/>
          <w:lang w:val="es-ES" w:eastAsia="es-ES"/>
        </w:rPr>
        <w:t>relacionado con la obra pública denominado</w:t>
      </w:r>
      <w:r w:rsidR="00C81A43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 </w:t>
      </w:r>
      <w:r w:rsidR="00C81A43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>“</w:t>
      </w:r>
      <w:r w:rsidR="00C81A43" w:rsidRPr="00C81A43">
        <w:rPr>
          <w:rFonts w:ascii="Arial" w:eastAsia="Times New Roman" w:hAnsi="Arial"/>
          <w:b/>
          <w:bCs/>
          <w:sz w:val="20"/>
          <w:szCs w:val="20"/>
          <w:lang w:eastAsia="es-ES"/>
        </w:rPr>
        <w:t>Diagnóstico integral en materia de accesibilidad de los inmuebles de la Suprema Corte de Justicia de la Nación</w:t>
      </w:r>
      <w:r w:rsidR="00984748" w:rsidRPr="00984748">
        <w:rPr>
          <w:rFonts w:ascii="Arial" w:eastAsia="Times New Roman" w:hAnsi="Arial"/>
          <w:b/>
          <w:bCs/>
          <w:sz w:val="20"/>
          <w:szCs w:val="20"/>
          <w:lang w:eastAsia="es-ES"/>
        </w:rPr>
        <w:t>, ubicados en la Ciudad de México”</w:t>
      </w:r>
      <w:r w:rsidR="00C81A43" w:rsidRPr="00122CE3">
        <w:rPr>
          <w:rFonts w:ascii="Arial" w:eastAsia="Times New Roman" w:hAnsi="Arial"/>
          <w:sz w:val="20"/>
          <w:szCs w:val="20"/>
          <w:lang w:val="es-ES" w:eastAsia="es-ES"/>
        </w:rPr>
        <w:t>,</w:t>
      </w:r>
      <w:r w:rsidR="00C81A43"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="00C81A43"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se efectuará </w:t>
      </w:r>
      <w:r w:rsidR="00C81A43">
        <w:rPr>
          <w:rFonts w:ascii="Arial" w:eastAsia="Times New Roman" w:hAnsi="Arial"/>
          <w:sz w:val="20"/>
          <w:szCs w:val="20"/>
          <w:lang w:val="es-ES" w:eastAsia="es-ES"/>
        </w:rPr>
        <w:t xml:space="preserve">en los siguientes inmuebles: </w:t>
      </w:r>
    </w:p>
    <w:p w14:paraId="680D9AF1" w14:textId="77777777" w:rsidR="00C81A43" w:rsidRDefault="00C81A43" w:rsidP="00C81A43">
      <w:pPr>
        <w:pStyle w:val="Prrafodelista"/>
        <w:spacing w:before="120" w:after="0"/>
        <w:ind w:left="1134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214A9E74" w14:textId="77777777" w:rsidR="00DA3DDA" w:rsidRPr="00DA3DDA" w:rsidRDefault="00DA3DDA" w:rsidP="00DA3DDA">
      <w:pPr>
        <w:pStyle w:val="Prrafodelista"/>
        <w:numPr>
          <w:ilvl w:val="0"/>
          <w:numId w:val="13"/>
        </w:numPr>
        <w:spacing w:before="120" w:after="12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A3DDA">
        <w:rPr>
          <w:rFonts w:ascii="Arial" w:eastAsia="Times New Roman" w:hAnsi="Arial"/>
          <w:sz w:val="20"/>
          <w:szCs w:val="20"/>
          <w:lang w:val="es-ES" w:eastAsia="es-ES"/>
        </w:rPr>
        <w:t>Edificio Alterno, ubicado en calle 16 de Septiembre número 38, colonia Centro, código postal 06010, 06000, Alcaldía Cuauhtémoc, Ciudad de México (Partida 1).</w:t>
      </w:r>
    </w:p>
    <w:p w14:paraId="46AD7F5D" w14:textId="77777777" w:rsidR="00DA3DDA" w:rsidRPr="00DA3DDA" w:rsidRDefault="00DA3DDA" w:rsidP="00DA3DDA">
      <w:pPr>
        <w:pStyle w:val="Prrafodelista"/>
        <w:numPr>
          <w:ilvl w:val="0"/>
          <w:numId w:val="13"/>
        </w:numPr>
        <w:spacing w:before="120" w:after="12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A3DDA">
        <w:rPr>
          <w:rFonts w:ascii="Arial" w:eastAsia="Times New Roman" w:hAnsi="Arial"/>
          <w:sz w:val="20"/>
          <w:szCs w:val="20"/>
          <w:lang w:val="es-ES" w:eastAsia="es-ES"/>
        </w:rPr>
        <w:t xml:space="preserve">Edificio 5 de Febrero, ubicado en calle Chimalpopoca número 112, colonia Centro, código postal 06080, Alcaldía Cuauhtémoc, Ciudad de México (Partida 2). </w:t>
      </w:r>
    </w:p>
    <w:p w14:paraId="08FBE79C" w14:textId="77777777" w:rsidR="00DA3DDA" w:rsidRPr="00DA3DDA" w:rsidRDefault="00DA3DDA" w:rsidP="00DA3DDA">
      <w:pPr>
        <w:pStyle w:val="Prrafodelista"/>
        <w:numPr>
          <w:ilvl w:val="0"/>
          <w:numId w:val="13"/>
        </w:numPr>
        <w:spacing w:before="120" w:after="12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A3DDA">
        <w:rPr>
          <w:rFonts w:ascii="Arial" w:eastAsia="Times New Roman" w:hAnsi="Arial"/>
          <w:sz w:val="20"/>
          <w:szCs w:val="20"/>
          <w:lang w:val="es-ES" w:eastAsia="es-ES"/>
        </w:rPr>
        <w:t>Edificio Bolívar, ubicado en calle Bolívar número 30, colonia Centro, código postal 06010, 06000, Alcaldía Cuauhtémoc, Ciudad de México (Partida 3).</w:t>
      </w:r>
    </w:p>
    <w:p w14:paraId="42F0F076" w14:textId="77777777" w:rsidR="00DA3DDA" w:rsidRPr="00DA3DDA" w:rsidRDefault="00DA3DDA" w:rsidP="00DA3DDA">
      <w:pPr>
        <w:pStyle w:val="Prrafodelista"/>
        <w:numPr>
          <w:ilvl w:val="0"/>
          <w:numId w:val="13"/>
        </w:numPr>
        <w:spacing w:before="120" w:after="12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A3DDA">
        <w:rPr>
          <w:rFonts w:ascii="Arial" w:eastAsia="Times New Roman" w:hAnsi="Arial"/>
          <w:sz w:val="20"/>
          <w:szCs w:val="20"/>
          <w:lang w:val="es-ES" w:eastAsia="es-ES"/>
        </w:rPr>
        <w:t>Edificio República de El Salvador, ubicado en calle República de El Salvador número 56, colonia Centro, código postal 06010, 06000, Alcaldía Cuauhtémoc, Ciudad de México (Partida 4).</w:t>
      </w:r>
    </w:p>
    <w:p w14:paraId="3045BFD3" w14:textId="77777777" w:rsidR="00DA3DDA" w:rsidRPr="00DA3DDA" w:rsidRDefault="00DA3DDA" w:rsidP="00DA3DDA">
      <w:pPr>
        <w:pStyle w:val="Prrafodelista"/>
        <w:numPr>
          <w:ilvl w:val="0"/>
          <w:numId w:val="13"/>
        </w:numPr>
        <w:spacing w:before="120" w:after="12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A3DDA">
        <w:rPr>
          <w:rFonts w:ascii="Arial" w:eastAsia="Times New Roman" w:hAnsi="Arial"/>
          <w:sz w:val="20"/>
          <w:szCs w:val="20"/>
          <w:lang w:val="es-ES" w:eastAsia="es-ES"/>
        </w:rPr>
        <w:t xml:space="preserve">Edificio Revolución, ubicado en avenida Revolución número 1508, colonia Guadalupe </w:t>
      </w:r>
      <w:proofErr w:type="spellStart"/>
      <w:r w:rsidRPr="00DA3DDA">
        <w:rPr>
          <w:rFonts w:ascii="Arial" w:eastAsia="Times New Roman" w:hAnsi="Arial"/>
          <w:sz w:val="20"/>
          <w:szCs w:val="20"/>
          <w:lang w:val="es-ES" w:eastAsia="es-ES"/>
        </w:rPr>
        <w:t>Inn</w:t>
      </w:r>
      <w:proofErr w:type="spellEnd"/>
      <w:r w:rsidRPr="00DA3DDA">
        <w:rPr>
          <w:rFonts w:ascii="Arial" w:eastAsia="Times New Roman" w:hAnsi="Arial"/>
          <w:sz w:val="20"/>
          <w:szCs w:val="20"/>
          <w:lang w:val="es-ES" w:eastAsia="es-ES"/>
        </w:rPr>
        <w:t>, código postal 01020, Alcaldía Álvaro Obregón, Ciudad de México (Partida 5).</w:t>
      </w:r>
    </w:p>
    <w:p w14:paraId="7EDCDD23" w14:textId="77777777" w:rsidR="00DA3DDA" w:rsidRDefault="00DA3DDA" w:rsidP="00DA3DDA">
      <w:pPr>
        <w:pStyle w:val="Prrafodelista"/>
        <w:numPr>
          <w:ilvl w:val="0"/>
          <w:numId w:val="13"/>
        </w:numPr>
        <w:spacing w:before="120" w:after="120"/>
        <w:ind w:left="1134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A3DDA">
        <w:rPr>
          <w:rFonts w:ascii="Arial" w:eastAsia="Times New Roman" w:hAnsi="Arial"/>
          <w:sz w:val="20"/>
          <w:szCs w:val="20"/>
          <w:lang w:val="es-ES" w:eastAsia="es-ES"/>
        </w:rPr>
        <w:t>Almacén General de Zaragoza, ubicado en calzada Ignacio Zaragoza número 1340, colonia Juan Escutia, código postal 09100, Alcaldía Iztapalapa, Ciudad de México (Partida 6).</w:t>
      </w:r>
    </w:p>
    <w:p w14:paraId="246E5021" w14:textId="77777777" w:rsidR="00DA3DDA" w:rsidRDefault="00ED754E" w:rsidP="00DA3DDA">
      <w:pPr>
        <w:pStyle w:val="Prrafodelista"/>
        <w:numPr>
          <w:ilvl w:val="0"/>
          <w:numId w:val="14"/>
        </w:numPr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033C8">
        <w:rPr>
          <w:rFonts w:ascii="Arial" w:eastAsia="Times New Roman" w:hAnsi="Arial"/>
          <w:sz w:val="20"/>
          <w:szCs w:val="20"/>
          <w:lang w:val="es-ES" w:eastAsia="es-ES"/>
        </w:rPr>
        <w:t>Conforme a la descripción del servicio señalada en e</w:t>
      </w:r>
      <w:r w:rsidRPr="00122CE3">
        <w:rPr>
          <w:rFonts w:ascii="Arial" w:eastAsia="Times New Roman" w:hAnsi="Arial"/>
          <w:sz w:val="20"/>
          <w:szCs w:val="20"/>
          <w:lang w:val="es-ES" w:eastAsia="es-ES"/>
        </w:rPr>
        <w:t xml:space="preserve">l </w:t>
      </w:r>
      <w:r w:rsidRPr="00122CE3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numeral 3 </w:t>
      </w:r>
      <w:r w:rsidRPr="00A31970">
        <w:rPr>
          <w:rFonts w:ascii="Arial" w:eastAsia="Times New Roman" w:hAnsi="Arial"/>
          <w:sz w:val="20"/>
          <w:szCs w:val="20"/>
          <w:lang w:val="es-ES" w:eastAsia="es-ES"/>
        </w:rPr>
        <w:t>de la convocatoria/bases; así como en los términos y condiciones de acuerdo con lo indicado en éstas, sus anexos y el contrato que al efecto se suscriba.</w:t>
      </w:r>
    </w:p>
    <w:p w14:paraId="0A46F78D" w14:textId="32CAAD7D" w:rsidR="00560E37" w:rsidRPr="00DA3DDA" w:rsidRDefault="00560E37" w:rsidP="00DA3DDA">
      <w:pPr>
        <w:pStyle w:val="Prrafodelista"/>
        <w:numPr>
          <w:ilvl w:val="0"/>
          <w:numId w:val="14"/>
        </w:numPr>
        <w:spacing w:before="120" w:after="0"/>
        <w:contextualSpacing w:val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DA3DDA">
        <w:rPr>
          <w:rFonts w:ascii="Arial" w:eastAsia="Times New Roman" w:hAnsi="Arial"/>
          <w:sz w:val="20"/>
          <w:szCs w:val="20"/>
          <w:lang w:val="es-ES" w:eastAsia="es-ES"/>
        </w:rPr>
        <w:t xml:space="preserve">Los precios unitarios son los indicados en el </w:t>
      </w:r>
      <w:r w:rsidRPr="00DA3DD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Apéndice A </w:t>
      </w:r>
      <w:r w:rsidRPr="00DA3DDA">
        <w:rPr>
          <w:rFonts w:ascii="Arial" w:eastAsia="Times New Roman" w:hAnsi="Arial"/>
          <w:sz w:val="20"/>
          <w:szCs w:val="20"/>
          <w:lang w:val="es-ES" w:eastAsia="es-ES"/>
        </w:rPr>
        <w:t>que forma parte integral de la propuesta económica</w:t>
      </w:r>
      <w:r w:rsidRPr="00DA3DDA">
        <w:rPr>
          <w:rFonts w:ascii="Arial" w:eastAsia="Times New Roman" w:hAnsi="Arial"/>
          <w:b/>
          <w:bCs/>
          <w:sz w:val="20"/>
          <w:szCs w:val="20"/>
          <w:lang w:val="es-ES" w:eastAsia="es-ES"/>
        </w:rPr>
        <w:t xml:space="preserve"> </w:t>
      </w:r>
      <w:r w:rsidRPr="00DA3DDA">
        <w:rPr>
          <w:rFonts w:ascii="Arial" w:eastAsia="Times New Roman" w:hAnsi="Arial"/>
          <w:sz w:val="20"/>
          <w:szCs w:val="20"/>
          <w:lang w:val="es-ES" w:eastAsia="es-ES"/>
        </w:rPr>
        <w:t>y el monto total asciende a la cantidad de $_________________ (importe con letra XX/100 moneda nacional), más $_________________ (importe con letra XX/100 moneda nacional) de IVA, resultando el costo total de $_________________   (importe con letra XX/100 moneda nacional).</w:t>
      </w:r>
    </w:p>
    <w:p w14:paraId="30615957" w14:textId="77777777" w:rsidR="00F4302D" w:rsidRDefault="00F4302D" w:rsidP="00F4302D">
      <w:pPr>
        <w:pStyle w:val="Prrafodelista"/>
        <w:spacing w:after="0"/>
        <w:ind w:left="709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08087A11" w14:textId="77777777" w:rsidR="00253662" w:rsidRDefault="00A3244A" w:rsidP="00DA3DDA">
      <w:pPr>
        <w:pStyle w:val="Prrafodelista"/>
        <w:numPr>
          <w:ilvl w:val="0"/>
          <w:numId w:val="14"/>
        </w:num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1E6AF1">
        <w:rPr>
          <w:rFonts w:ascii="Arial" w:eastAsia="Times New Roman" w:hAnsi="Arial"/>
          <w:sz w:val="20"/>
          <w:szCs w:val="20"/>
          <w:lang w:val="es-ES" w:eastAsia="es-ES"/>
        </w:rPr>
        <w:t>La vigencia de la propuestas técnica y económica es de treinta días hábiles (mínima), contados a partir del día hábil siguiente a la fecha de su entrega.</w:t>
      </w:r>
    </w:p>
    <w:p w14:paraId="483F8E5B" w14:textId="77777777" w:rsidR="00253662" w:rsidRPr="00253662" w:rsidRDefault="00253662" w:rsidP="00253662">
      <w:pPr>
        <w:pStyle w:val="Prrafodelista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1C26571" w14:textId="77777777" w:rsidR="00C81A43" w:rsidRPr="00C81A43" w:rsidRDefault="00A3244A" w:rsidP="00DA3DDA">
      <w:pPr>
        <w:pStyle w:val="Prrafodelista"/>
        <w:numPr>
          <w:ilvl w:val="0"/>
          <w:numId w:val="14"/>
        </w:numPr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C81A43">
        <w:rPr>
          <w:rFonts w:ascii="Arial" w:eastAsia="Times New Roman" w:hAnsi="Arial"/>
          <w:sz w:val="20"/>
          <w:szCs w:val="20"/>
          <w:lang w:val="es-ES" w:eastAsia="es-ES"/>
        </w:rPr>
        <w:t>Manifiesto y acept</w:t>
      </w:r>
      <w:r w:rsidR="00253662" w:rsidRPr="00C81A43"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Pr="00C81A43">
        <w:rPr>
          <w:rFonts w:ascii="Arial" w:eastAsia="Times New Roman" w:hAnsi="Arial"/>
          <w:sz w:val="20"/>
          <w:szCs w:val="20"/>
          <w:lang w:val="es-ES" w:eastAsia="es-ES"/>
        </w:rPr>
        <w:t xml:space="preserve">que </w:t>
      </w:r>
      <w:r w:rsidR="00E2460C" w:rsidRPr="00C81A43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253662" w:rsidRPr="00C81A43">
        <w:rPr>
          <w:rFonts w:ascii="Arial" w:eastAsia="Times New Roman" w:hAnsi="Arial"/>
          <w:sz w:val="20"/>
          <w:szCs w:val="20"/>
          <w:lang w:val="es-ES" w:eastAsia="es-ES"/>
        </w:rPr>
        <w:t xml:space="preserve">plazo de ejecución será </w:t>
      </w:r>
      <w:r w:rsidR="00C81A43" w:rsidRPr="00C81A43">
        <w:rPr>
          <w:rFonts w:ascii="Arial" w:eastAsia="Times New Roman" w:hAnsi="Arial"/>
          <w:sz w:val="20"/>
          <w:szCs w:val="20"/>
          <w:lang w:val="es-ES" w:eastAsia="es-ES"/>
        </w:rPr>
        <w:t>a partir de la notificación de fallo</w:t>
      </w:r>
      <w:r w:rsidR="00C81A43">
        <w:rPr>
          <w:rFonts w:ascii="Arial" w:eastAsia="Times New Roman" w:hAnsi="Arial"/>
          <w:sz w:val="20"/>
          <w:szCs w:val="20"/>
          <w:lang w:val="es-ES" w:eastAsia="es-ES"/>
        </w:rPr>
        <w:t>, conforme a lo siguiente:</w:t>
      </w:r>
    </w:p>
    <w:p w14:paraId="29BA92EB" w14:textId="77777777" w:rsidR="00C81A43" w:rsidRPr="00C81A43" w:rsidRDefault="00C81A43" w:rsidP="00C81A43">
      <w:pPr>
        <w:pStyle w:val="Prrafodelista"/>
        <w:rPr>
          <w:rFonts w:ascii="Arial" w:eastAsia="Times New Roman" w:hAnsi="Arial"/>
          <w:bCs/>
          <w:sz w:val="20"/>
          <w:szCs w:val="20"/>
          <w:lang w:val="es-ES" w:eastAsia="es-ES"/>
        </w:rPr>
      </w:pPr>
    </w:p>
    <w:p w14:paraId="75A3064D" w14:textId="77777777" w:rsidR="00C81A43" w:rsidRPr="00C81A43" w:rsidRDefault="00C81A43" w:rsidP="00C81A43">
      <w:pPr>
        <w:pStyle w:val="Prrafodelista"/>
        <w:numPr>
          <w:ilvl w:val="0"/>
          <w:numId w:val="10"/>
        </w:numPr>
        <w:spacing w:before="120" w:after="120"/>
        <w:ind w:left="1276" w:hanging="357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Edificio Alterno (Partida 1)</w:t>
      </w:r>
      <w:r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: </w:t>
      </w: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60 días naturales</w:t>
      </w:r>
    </w:p>
    <w:p w14:paraId="0A35BC60" w14:textId="77777777" w:rsidR="00C81A43" w:rsidRPr="00C81A43" w:rsidRDefault="00C81A43" w:rsidP="00C81A43">
      <w:pPr>
        <w:pStyle w:val="Prrafodelista"/>
        <w:numPr>
          <w:ilvl w:val="0"/>
          <w:numId w:val="10"/>
        </w:numPr>
        <w:spacing w:before="120" w:after="120"/>
        <w:ind w:left="1276" w:hanging="357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Edificio 5 de Febrero (Partida 2)</w:t>
      </w:r>
      <w:r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: </w:t>
      </w: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60 días naturales</w:t>
      </w:r>
    </w:p>
    <w:p w14:paraId="4A8860DA" w14:textId="77777777" w:rsidR="00C81A43" w:rsidRPr="00C81A43" w:rsidRDefault="00C81A43" w:rsidP="00C81A43">
      <w:pPr>
        <w:pStyle w:val="Prrafodelista"/>
        <w:numPr>
          <w:ilvl w:val="0"/>
          <w:numId w:val="10"/>
        </w:numPr>
        <w:spacing w:before="120" w:after="120"/>
        <w:ind w:left="1276" w:hanging="357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lastRenderedPageBreak/>
        <w:t>Edificio Bolívar (Partida 3)</w:t>
      </w:r>
      <w:r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: </w:t>
      </w: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40 días naturales</w:t>
      </w:r>
    </w:p>
    <w:p w14:paraId="6CF86AF4" w14:textId="77777777" w:rsidR="00C81A43" w:rsidRPr="00C81A43" w:rsidRDefault="00C81A43" w:rsidP="00C81A43">
      <w:pPr>
        <w:pStyle w:val="Prrafodelista"/>
        <w:numPr>
          <w:ilvl w:val="0"/>
          <w:numId w:val="10"/>
        </w:numPr>
        <w:spacing w:before="120" w:after="120"/>
        <w:ind w:left="1276" w:hanging="357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Edificio República de El Salvador (Partida 4)</w:t>
      </w:r>
      <w:r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: </w:t>
      </w: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40 días naturales</w:t>
      </w:r>
    </w:p>
    <w:p w14:paraId="112BF1BA" w14:textId="5F2CBBA7" w:rsidR="00C81A43" w:rsidRPr="00C81A43" w:rsidRDefault="00C81A43" w:rsidP="00C81A43">
      <w:pPr>
        <w:pStyle w:val="Prrafodelista"/>
        <w:numPr>
          <w:ilvl w:val="0"/>
          <w:numId w:val="10"/>
        </w:numPr>
        <w:spacing w:before="120" w:after="120"/>
        <w:ind w:left="1276" w:hanging="357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Edificio </w:t>
      </w:r>
      <w:r w:rsidR="00DA3DDA">
        <w:rPr>
          <w:rFonts w:ascii="Arial" w:eastAsia="Times New Roman" w:hAnsi="Arial"/>
          <w:bCs/>
          <w:sz w:val="20"/>
          <w:szCs w:val="20"/>
          <w:lang w:val="es-ES" w:eastAsia="es-ES"/>
        </w:rPr>
        <w:t>Revolución</w:t>
      </w: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 (Partida 5)</w:t>
      </w:r>
      <w:r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: </w:t>
      </w: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40 días naturales</w:t>
      </w:r>
    </w:p>
    <w:p w14:paraId="5DE53360" w14:textId="6CA216FF" w:rsidR="00C81A43" w:rsidRDefault="00C81A43" w:rsidP="00C81A43">
      <w:pPr>
        <w:pStyle w:val="Prrafodelista"/>
        <w:numPr>
          <w:ilvl w:val="0"/>
          <w:numId w:val="10"/>
        </w:numPr>
        <w:spacing w:before="120" w:after="120"/>
        <w:ind w:left="1276" w:hanging="357"/>
        <w:contextualSpacing w:val="0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Almacén General </w:t>
      </w:r>
      <w:r w:rsidR="00DA3DDA"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de Zaragoza </w:t>
      </w: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(Partida 6)</w:t>
      </w:r>
      <w:r>
        <w:rPr>
          <w:rFonts w:ascii="Arial" w:eastAsia="Times New Roman" w:hAnsi="Arial"/>
          <w:bCs/>
          <w:sz w:val="20"/>
          <w:szCs w:val="20"/>
          <w:lang w:val="es-ES" w:eastAsia="es-ES"/>
        </w:rPr>
        <w:t xml:space="preserve">: </w:t>
      </w: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40 días naturales</w:t>
      </w:r>
    </w:p>
    <w:p w14:paraId="3CF0DCAA" w14:textId="77777777" w:rsidR="00C81A43" w:rsidRPr="00C81A43" w:rsidRDefault="00C81A43" w:rsidP="00C81A43">
      <w:pPr>
        <w:pStyle w:val="Prrafodelista"/>
        <w:rPr>
          <w:rFonts w:ascii="Arial" w:eastAsia="Times New Roman" w:hAnsi="Arial"/>
          <w:bCs/>
          <w:sz w:val="20"/>
          <w:szCs w:val="20"/>
          <w:lang w:val="es-ES" w:eastAsia="es-ES"/>
        </w:rPr>
      </w:pPr>
    </w:p>
    <w:p w14:paraId="7F4E4A15" w14:textId="77777777" w:rsidR="00C81A43" w:rsidRPr="00C81A43" w:rsidRDefault="00C81A43" w:rsidP="00C81A43">
      <w:pPr>
        <w:pStyle w:val="Prrafodelista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En las partidas donde el plazo de ejecución es de 60 días naturales, se deberá tomar en consideración que 20 días naturales previos a la conclusión del contrato la persona prestadora de servicios deberá entregar un documento preliminar a revisión por parte de la persona Administradora del contrato y la Unidad General de Conocimiento Científico y Derechos Humanos de la Suprema Corte de Justicia de la Nación con la finalidad de realizar observaciones para su atención dentro del plazo contractual.</w:t>
      </w:r>
    </w:p>
    <w:p w14:paraId="797D1025" w14:textId="77777777" w:rsidR="00C81A43" w:rsidRDefault="00C81A43" w:rsidP="00C81A43">
      <w:pPr>
        <w:pStyle w:val="Prrafodelista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</w:p>
    <w:p w14:paraId="4DE159D8" w14:textId="77777777" w:rsidR="00C81A43" w:rsidRPr="00C81A43" w:rsidRDefault="00C81A43" w:rsidP="00C81A43">
      <w:pPr>
        <w:pStyle w:val="Prrafodelista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En las partidas donde el plazo de ejecución es de 40 días naturales, se deberá tomar en consideración que 10 días naturales previos a la conclusión del contrato la persona prestadora de servicios deberá entregar un documento preliminar a revisión por parte del Administrador del Contrato y la Unidad General de Conocimiento Científico y Derechos Humanos de la Suprema Corte de Justicia de la Nación con la finalidad de realizar observaciones para su atención dentro del plazo contractual.</w:t>
      </w:r>
    </w:p>
    <w:p w14:paraId="59409DCA" w14:textId="77777777" w:rsidR="00C81A43" w:rsidRDefault="00C81A43" w:rsidP="00C81A43">
      <w:pPr>
        <w:pStyle w:val="Prrafodelista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</w:p>
    <w:p w14:paraId="1EF244EC" w14:textId="77777777" w:rsidR="00C81A43" w:rsidRPr="00C81A43" w:rsidRDefault="00C81A43" w:rsidP="00C81A43">
      <w:pPr>
        <w:pStyle w:val="Prrafodelista"/>
        <w:jc w:val="both"/>
        <w:rPr>
          <w:rFonts w:ascii="Arial" w:eastAsia="Times New Roman" w:hAnsi="Arial"/>
          <w:bCs/>
          <w:sz w:val="20"/>
          <w:szCs w:val="20"/>
          <w:lang w:val="es-ES" w:eastAsia="es-ES"/>
        </w:rPr>
      </w:pPr>
      <w:r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En caso de que cualquiera de los plazos fenezca en día inhábil, la entrega se recorrerá al día hábil inmediato siguiente.</w:t>
      </w:r>
    </w:p>
    <w:p w14:paraId="67E94369" w14:textId="4F4AD2D9" w:rsidR="00A71CF4" w:rsidRPr="00C81A43" w:rsidRDefault="00A71CF4" w:rsidP="00C81A43">
      <w:pPr>
        <w:pStyle w:val="Prrafodelista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5E10870F" w14:textId="608F9D66" w:rsidR="00C81A43" w:rsidRPr="00C81A43" w:rsidRDefault="00A3244A" w:rsidP="00DA3DDA">
      <w:pPr>
        <w:pStyle w:val="Prrafodelista"/>
        <w:numPr>
          <w:ilvl w:val="0"/>
          <w:numId w:val="14"/>
        </w:numPr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Acepto </w:t>
      </w:r>
      <w:r w:rsidR="000423E7" w:rsidRPr="008E06FC">
        <w:rPr>
          <w:rFonts w:ascii="Arial" w:eastAsia="Times New Roman" w:hAnsi="Arial"/>
          <w:sz w:val="20"/>
          <w:szCs w:val="20"/>
          <w:lang w:val="es-ES" w:eastAsia="es-ES"/>
        </w:rPr>
        <w:t xml:space="preserve">la forma de pago </w:t>
      </w:r>
      <w:r w:rsidR="00A64529">
        <w:rPr>
          <w:rFonts w:ascii="Arial" w:eastAsia="Times New Roman" w:hAnsi="Arial"/>
          <w:sz w:val="20"/>
          <w:szCs w:val="20"/>
          <w:lang w:val="es-ES" w:eastAsia="es-ES"/>
        </w:rPr>
        <w:t xml:space="preserve">la cual será </w:t>
      </w:r>
      <w:r w:rsidR="00C81A43">
        <w:rPr>
          <w:rFonts w:ascii="Arial" w:eastAsia="Times New Roman" w:hAnsi="Arial"/>
          <w:sz w:val="20"/>
          <w:szCs w:val="20"/>
          <w:lang w:val="es-ES" w:eastAsia="es-ES"/>
        </w:rPr>
        <w:t xml:space="preserve">el </w:t>
      </w:r>
      <w:r w:rsidR="00C81A43"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cien por ciento contra entrega del (de los) Dictamen (es) Integral (es) de Accesibilidad por cada partida, conforme al Anexo Técnico (</w:t>
      </w:r>
      <w:r w:rsidR="00C81A43" w:rsidRPr="00C81A43">
        <w:rPr>
          <w:rFonts w:ascii="Arial" w:eastAsia="Times New Roman" w:hAnsi="Arial"/>
          <w:b/>
          <w:sz w:val="20"/>
          <w:szCs w:val="20"/>
          <w:lang w:val="es-ES" w:eastAsia="es-ES"/>
        </w:rPr>
        <w:t>Anexo 1</w:t>
      </w:r>
      <w:r w:rsidR="00C81A43" w:rsidRPr="00C81A43">
        <w:rPr>
          <w:rFonts w:ascii="Arial" w:eastAsia="Times New Roman" w:hAnsi="Arial"/>
          <w:bCs/>
          <w:sz w:val="20"/>
          <w:szCs w:val="20"/>
          <w:lang w:val="es-ES" w:eastAsia="es-ES"/>
        </w:rPr>
        <w:t>) y a entera satisfacción de la Suprema Corte de Justicia de la Nación.</w:t>
      </w:r>
    </w:p>
    <w:p w14:paraId="01261005" w14:textId="4A98C247" w:rsidR="00655A16" w:rsidRDefault="003E2E6D" w:rsidP="007C497B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>
        <w:rPr>
          <w:rFonts w:ascii="Arial" w:eastAsia="Times New Roman" w:hAnsi="Arial"/>
          <w:sz w:val="20"/>
          <w:szCs w:val="20"/>
          <w:lang w:val="es-ES" w:eastAsia="es-ES"/>
        </w:rPr>
        <w:t>A</w:t>
      </w:r>
      <w:r w:rsidR="00655A16" w:rsidRPr="00655A16">
        <w:rPr>
          <w:rFonts w:ascii="Arial" w:eastAsia="Times New Roman" w:hAnsi="Arial"/>
          <w:sz w:val="20"/>
          <w:szCs w:val="20"/>
          <w:lang w:val="es-ES" w:eastAsia="es-ES"/>
        </w:rPr>
        <w:t>djunt</w:t>
      </w:r>
      <w:r>
        <w:rPr>
          <w:rFonts w:ascii="Arial" w:eastAsia="Times New Roman" w:hAnsi="Arial"/>
          <w:sz w:val="20"/>
          <w:szCs w:val="20"/>
          <w:lang w:val="es-ES" w:eastAsia="es-ES"/>
        </w:rPr>
        <w:t xml:space="preserve">o </w:t>
      </w:r>
      <w:r w:rsidR="00655A16" w:rsidRPr="00655A16">
        <w:rPr>
          <w:rFonts w:ascii="Arial" w:eastAsia="Times New Roman" w:hAnsi="Arial"/>
          <w:sz w:val="20"/>
          <w:szCs w:val="20"/>
          <w:lang w:val="es-ES" w:eastAsia="es-ES"/>
        </w:rPr>
        <w:t xml:space="preserve">como parte de </w:t>
      </w:r>
      <w:r>
        <w:rPr>
          <w:rFonts w:ascii="Arial" w:eastAsia="Times New Roman" w:hAnsi="Arial"/>
          <w:sz w:val="20"/>
          <w:szCs w:val="20"/>
          <w:lang w:val="es-ES" w:eastAsia="es-ES"/>
        </w:rPr>
        <w:t>la</w:t>
      </w:r>
      <w:r w:rsidR="00655A16" w:rsidRPr="00655A16">
        <w:rPr>
          <w:rFonts w:ascii="Arial" w:eastAsia="Times New Roman" w:hAnsi="Arial"/>
          <w:sz w:val="20"/>
          <w:szCs w:val="20"/>
          <w:lang w:val="es-ES" w:eastAsia="es-ES"/>
        </w:rPr>
        <w:t xml:space="preserve"> propuesta económica, las constancias solicitadas en el numeral 9.</w:t>
      </w:r>
      <w:r w:rsidR="00560E37">
        <w:rPr>
          <w:rFonts w:ascii="Arial" w:eastAsia="Times New Roman" w:hAnsi="Arial"/>
          <w:sz w:val="20"/>
          <w:szCs w:val="20"/>
          <w:lang w:val="es-ES" w:eastAsia="es-ES"/>
        </w:rPr>
        <w:t>7</w:t>
      </w:r>
      <w:r w:rsidR="00655A16" w:rsidRPr="00655A16">
        <w:rPr>
          <w:rFonts w:ascii="Arial" w:eastAsia="Times New Roman" w:hAnsi="Arial"/>
          <w:sz w:val="20"/>
          <w:szCs w:val="20"/>
          <w:lang w:val="es-ES" w:eastAsia="es-ES"/>
        </w:rPr>
        <w:t xml:space="preserve"> de la convocatoria/bases</w:t>
      </w:r>
    </w:p>
    <w:p w14:paraId="72F19B19" w14:textId="77777777" w:rsidR="00655A16" w:rsidRDefault="00655A16" w:rsidP="007C497B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</w:p>
    <w:p w14:paraId="7731B42C" w14:textId="646E34EF" w:rsidR="00C91095" w:rsidRPr="007C497B" w:rsidRDefault="00C91095" w:rsidP="007C497B">
      <w:pPr>
        <w:spacing w:after="0"/>
        <w:jc w:val="both"/>
        <w:rPr>
          <w:rFonts w:ascii="Arial" w:eastAsia="Times New Roman" w:hAnsi="Arial"/>
          <w:sz w:val="20"/>
          <w:szCs w:val="20"/>
          <w:lang w:val="es-ES" w:eastAsia="es-ES"/>
        </w:rPr>
      </w:pPr>
      <w:r w:rsidRPr="007C497B">
        <w:rPr>
          <w:rFonts w:ascii="Arial" w:eastAsia="Times New Roman" w:hAnsi="Arial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1077FA">
      <w:pPr>
        <w:spacing w:after="0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1077FA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41B3E406" w14:textId="1C132EB0" w:rsidR="00A131F7" w:rsidRDefault="00C91095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FDD02DD" w14:textId="77777777" w:rsidR="00560E37" w:rsidRDefault="00560E37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9D78FD6" w14:textId="77777777" w:rsidR="00560E37" w:rsidRDefault="00560E37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DC08D8" w14:textId="77777777" w:rsidR="00560E37" w:rsidRDefault="00560E37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CBA1CCE" w14:textId="77777777" w:rsidR="00560E37" w:rsidRDefault="00560E37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7FEB151A" w14:textId="77777777" w:rsidR="00560E37" w:rsidRDefault="00560E37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C249700" w14:textId="77777777" w:rsidR="00560E37" w:rsidRDefault="00560E37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A43C4CD" w14:textId="77777777" w:rsidR="00560E37" w:rsidRDefault="00560E37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62F7B5" w14:textId="77777777" w:rsidR="00560E37" w:rsidRDefault="00560E37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B5CB54" w14:textId="77777777" w:rsidR="00984748" w:rsidRDefault="00984748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903F9B5" w14:textId="77777777" w:rsidR="00984748" w:rsidRDefault="00984748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611CB431" w14:textId="77777777" w:rsidR="00984748" w:rsidRDefault="00984748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585BEB4" w14:textId="77777777" w:rsidR="00560E37" w:rsidRDefault="00560E37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43C1FBB" w14:textId="77777777" w:rsidR="00560E37" w:rsidRDefault="00560E37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0BC1D09" w14:textId="77777777" w:rsidR="00560E37" w:rsidRDefault="00560E37" w:rsidP="00560E37">
      <w:pPr>
        <w:spacing w:after="0"/>
        <w:jc w:val="right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3D1EDE4" w14:textId="77777777" w:rsidR="00A15F35" w:rsidRDefault="00A15F35" w:rsidP="00560E37">
      <w:pPr>
        <w:spacing w:after="0"/>
        <w:jc w:val="right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CC6BF3D" w14:textId="77777777" w:rsidR="00560E37" w:rsidRDefault="00560E37" w:rsidP="00560E3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APÉNDICE A</w:t>
      </w:r>
    </w:p>
    <w:p w14:paraId="2FA35204" w14:textId="77777777" w:rsidR="00560E37" w:rsidRDefault="00560E37" w:rsidP="00560E37">
      <w:pPr>
        <w:spacing w:after="0"/>
        <w:jc w:val="center"/>
        <w:rPr>
          <w:rFonts w:ascii="Arial" w:eastAsia="Times New Roman" w:hAnsi="Arial" w:cs="Arial"/>
          <w:b/>
          <w:bCs/>
          <w:snapToGrid w:val="0"/>
          <w:sz w:val="20"/>
          <w:szCs w:val="20"/>
          <w:lang w:val="es-ES_tradnl" w:eastAsia="es-ES"/>
        </w:rPr>
      </w:pPr>
    </w:p>
    <w:tbl>
      <w:tblPr>
        <w:tblW w:w="46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7"/>
        <w:gridCol w:w="3224"/>
        <w:gridCol w:w="4104"/>
      </w:tblGrid>
      <w:tr w:rsidR="00DA3DDA" w14:paraId="59C4F298" w14:textId="77777777" w:rsidTr="00DA3DDA">
        <w:trPr>
          <w:trHeight w:val="509"/>
          <w:jc w:val="center"/>
        </w:trPr>
        <w:tc>
          <w:tcPr>
            <w:tcW w:w="20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14:paraId="278E288A" w14:textId="77777777" w:rsidR="00DA3DDA" w:rsidRDefault="00DA3DD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PARTIDA</w:t>
            </w:r>
          </w:p>
        </w:tc>
        <w:tc>
          <w:tcPr>
            <w:tcW w:w="32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14:paraId="33153DE6" w14:textId="718D8549" w:rsidR="00DA3DDA" w:rsidRDefault="00DA3DD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INMUEBLE</w:t>
            </w:r>
          </w:p>
        </w:tc>
        <w:tc>
          <w:tcPr>
            <w:tcW w:w="4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62626" w:themeFill="text1" w:themeFillTint="D9"/>
            <w:vAlign w:val="center"/>
            <w:hideMark/>
          </w:tcPr>
          <w:p w14:paraId="4E61625B" w14:textId="77777777" w:rsidR="00DA3DDA" w:rsidRDefault="00DA3DD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>PRECIO UNITARIO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br/>
              <w:t>ANTES DE IVA</w:t>
            </w:r>
          </w:p>
          <w:p w14:paraId="090709CA" w14:textId="77777777" w:rsidR="00DA3DDA" w:rsidRDefault="00DA3DD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  <w:t xml:space="preserve">(NÚMERO Y </w:t>
            </w:r>
            <w:r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u w:val="single"/>
                <w:lang w:eastAsia="es-MX"/>
              </w:rPr>
              <w:t>LETRA)</w:t>
            </w:r>
          </w:p>
        </w:tc>
      </w:tr>
      <w:tr w:rsidR="00DA3DDA" w14:paraId="1E1EC9FA" w14:textId="77777777" w:rsidTr="00DA3DDA">
        <w:trPr>
          <w:trHeight w:val="701"/>
          <w:jc w:val="center"/>
        </w:trPr>
        <w:tc>
          <w:tcPr>
            <w:tcW w:w="20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B8AC1" w14:textId="77777777" w:rsidR="00DA3DDA" w:rsidRDefault="00DA3DDA">
            <w:pPr>
              <w:spacing w:after="0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</w:tc>
        <w:tc>
          <w:tcPr>
            <w:tcW w:w="32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C29D2" w14:textId="77777777" w:rsidR="00DA3DDA" w:rsidRDefault="00DA3DDA">
            <w:pPr>
              <w:spacing w:after="0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</w:tc>
        <w:tc>
          <w:tcPr>
            <w:tcW w:w="4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C4AAC" w14:textId="77777777" w:rsidR="00DA3DDA" w:rsidRDefault="00DA3DDA">
            <w:pPr>
              <w:spacing w:after="0"/>
              <w:rPr>
                <w:rFonts w:ascii="Arial" w:eastAsia="Times New Roman" w:hAnsi="Arial" w:cs="Arial"/>
                <w:b/>
                <w:bCs/>
                <w:color w:val="FFFFFF" w:themeColor="background1"/>
                <w:sz w:val="20"/>
                <w:szCs w:val="20"/>
                <w:lang w:eastAsia="es-MX"/>
              </w:rPr>
            </w:pPr>
          </w:p>
        </w:tc>
      </w:tr>
      <w:tr w:rsidR="00DA3DDA" w14:paraId="41FADE9F" w14:textId="77777777" w:rsidTr="00DA3DDA">
        <w:trPr>
          <w:trHeight w:val="1128"/>
          <w:jc w:val="center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74AF2" w14:textId="5DD9EEF9" w:rsidR="00DA3DDA" w:rsidRDefault="00DA3DDA" w:rsidP="00560E37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1.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822E7" w14:textId="1BF94B62" w:rsidR="00DA3DDA" w:rsidRDefault="00DA3DD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560E37">
              <w:rPr>
                <w:rFonts w:ascii="Arial" w:eastAsia="Times New Roman" w:hAnsi="Arial" w:cs="Arial"/>
                <w:sz w:val="20"/>
                <w:szCs w:val="20"/>
                <w:lang w:eastAsia="es-MX"/>
              </w:rPr>
              <w:t>Edificio Alterno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CFED8" w14:textId="77777777" w:rsidR="00DA3DDA" w:rsidRDefault="00DA3DD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DA3DDA" w14:paraId="10F48321" w14:textId="77777777" w:rsidTr="00DA3DDA">
        <w:trPr>
          <w:trHeight w:val="1248"/>
          <w:jc w:val="center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9A642" w14:textId="540CF9A8" w:rsidR="00DA3DDA" w:rsidRDefault="00DA3DDA" w:rsidP="00560E3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2.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40B05" w14:textId="2EB43E86" w:rsidR="00DA3DDA" w:rsidRDefault="00DA3DD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81A43">
              <w:rPr>
                <w:rFonts w:ascii="Arial" w:eastAsia="Times New Roman" w:hAnsi="Arial"/>
                <w:bCs/>
                <w:sz w:val="20"/>
                <w:szCs w:val="20"/>
                <w:lang w:val="es-ES" w:eastAsia="es-ES"/>
              </w:rPr>
              <w:t>Edificio 5 de Febrero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F8CB1" w14:textId="77777777" w:rsidR="00DA3DDA" w:rsidRDefault="00DA3DD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DA3DDA" w14:paraId="79C5609C" w14:textId="77777777" w:rsidTr="00DA3DDA">
        <w:trPr>
          <w:trHeight w:val="930"/>
          <w:jc w:val="center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73A72" w14:textId="2386874B" w:rsidR="00DA3DDA" w:rsidRDefault="00DA3DDA" w:rsidP="00560E37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3.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6EC73" w14:textId="42432CEA" w:rsidR="00DA3DDA" w:rsidRDefault="00DA3DD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81A43">
              <w:rPr>
                <w:rFonts w:ascii="Arial" w:eastAsia="Times New Roman" w:hAnsi="Arial"/>
                <w:bCs/>
                <w:sz w:val="20"/>
                <w:szCs w:val="20"/>
                <w:lang w:val="es-ES" w:eastAsia="es-ES"/>
              </w:rPr>
              <w:t>Edificio Bolívar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F44B3" w14:textId="77777777" w:rsidR="00DA3DDA" w:rsidRDefault="00DA3DD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DA3DDA" w14:paraId="6413D3DC" w14:textId="77777777" w:rsidTr="00DA3DDA">
        <w:trPr>
          <w:trHeight w:val="1008"/>
          <w:jc w:val="center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84226" w14:textId="0CB1C085" w:rsidR="00DA3DDA" w:rsidRDefault="00DA3DDA" w:rsidP="00560E37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4.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6D36C" w14:textId="061294D8" w:rsidR="00DA3DDA" w:rsidRDefault="00DA3DD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81A43">
              <w:rPr>
                <w:rFonts w:ascii="Arial" w:eastAsia="Times New Roman" w:hAnsi="Arial"/>
                <w:bCs/>
                <w:sz w:val="20"/>
                <w:szCs w:val="20"/>
                <w:lang w:val="es-ES" w:eastAsia="es-ES"/>
              </w:rPr>
              <w:t>Edificio República de El Salvador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EF5CA" w14:textId="77777777" w:rsidR="00DA3DDA" w:rsidRDefault="00DA3DD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DA3DDA" w14:paraId="66BB4A71" w14:textId="77777777" w:rsidTr="00DA3DDA">
        <w:trPr>
          <w:trHeight w:val="900"/>
          <w:jc w:val="center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EE67" w14:textId="6F7A4A60" w:rsidR="00DA3DDA" w:rsidRDefault="00DA3DDA" w:rsidP="00560E37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5.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A5310" w14:textId="04EFCCE7" w:rsidR="00DA3DDA" w:rsidRDefault="00DA3DD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81A43">
              <w:rPr>
                <w:rFonts w:ascii="Arial" w:eastAsia="Times New Roman" w:hAnsi="Arial"/>
                <w:bCs/>
                <w:sz w:val="20"/>
                <w:szCs w:val="20"/>
                <w:lang w:val="es-ES" w:eastAsia="es-ES"/>
              </w:rPr>
              <w:t>Edificio sede Alterna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79BBC" w14:textId="77777777" w:rsidR="00DA3DDA" w:rsidRDefault="00DA3DD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DA3DDA" w14:paraId="561A5C8C" w14:textId="77777777" w:rsidTr="00DA3DDA">
        <w:trPr>
          <w:trHeight w:val="900"/>
          <w:jc w:val="center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3CFAE" w14:textId="1A335DAC" w:rsidR="00DA3DDA" w:rsidRDefault="00DA3DDA" w:rsidP="00560E37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>6.</w:t>
            </w:r>
          </w:p>
        </w:tc>
        <w:tc>
          <w:tcPr>
            <w:tcW w:w="3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B859D" w14:textId="20AC68E8" w:rsidR="00DA3DDA" w:rsidRDefault="00DA3DD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es-MX"/>
              </w:rPr>
            </w:pPr>
            <w:r w:rsidRPr="00C81A43">
              <w:rPr>
                <w:rFonts w:ascii="Arial" w:eastAsia="Times New Roman" w:hAnsi="Arial"/>
                <w:bCs/>
                <w:sz w:val="20"/>
                <w:szCs w:val="20"/>
                <w:lang w:val="es-ES" w:eastAsia="es-ES"/>
              </w:rPr>
              <w:t>Almacén General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AED25" w14:textId="77777777" w:rsidR="00DA3DDA" w:rsidRDefault="00DA3DDA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DA3DDA" w:rsidRPr="00946B34" w14:paraId="03971633" w14:textId="77777777" w:rsidTr="00DA3DDA">
        <w:trPr>
          <w:trHeight w:val="613"/>
          <w:jc w:val="center"/>
        </w:trPr>
        <w:tc>
          <w:tcPr>
            <w:tcW w:w="5251" w:type="dxa"/>
            <w:gridSpan w:val="2"/>
            <w:shd w:val="clear" w:color="auto" w:fill="262626" w:themeFill="text1" w:themeFillTint="D9"/>
            <w:noWrap/>
            <w:vAlign w:val="center"/>
            <w:hideMark/>
          </w:tcPr>
          <w:p w14:paraId="26172306" w14:textId="77777777" w:rsidR="00DA3DDA" w:rsidRPr="009918FC" w:rsidRDefault="00DA3DDA" w:rsidP="0006165E">
            <w:pPr>
              <w:spacing w:before="120" w:after="120" w:line="240" w:lineRule="auto"/>
              <w:jc w:val="center"/>
              <w:rPr>
                <w:rFonts w:ascii="Arial Negrita" w:eastAsia="Times New Roman" w:hAnsi="Arial Negrita" w:cs="Arial"/>
                <w:b/>
                <w:bCs/>
                <w:color w:val="FFFFFF" w:themeColor="background1"/>
                <w:spacing w:val="40"/>
                <w:lang w:val="it-IT" w:eastAsia="es-MX"/>
              </w:rPr>
            </w:pPr>
            <w:r w:rsidRPr="009918FC">
              <w:rPr>
                <w:rFonts w:ascii="Arial Negrita" w:eastAsia="Times New Roman" w:hAnsi="Arial Negrita" w:cs="Arial"/>
                <w:b/>
                <w:bCs/>
                <w:color w:val="FFFFFF" w:themeColor="background1"/>
                <w:spacing w:val="40"/>
                <w:lang w:val="it-IT" w:eastAsia="es-MX"/>
              </w:rPr>
              <w:t xml:space="preserve"> S U B T O T A L </w:t>
            </w:r>
          </w:p>
        </w:tc>
        <w:tc>
          <w:tcPr>
            <w:tcW w:w="4105" w:type="dxa"/>
            <w:shd w:val="clear" w:color="auto" w:fill="auto"/>
            <w:vAlign w:val="center"/>
            <w:hideMark/>
          </w:tcPr>
          <w:p w14:paraId="32B81B7B" w14:textId="77777777" w:rsidR="00DA3DDA" w:rsidRPr="009918FC" w:rsidRDefault="00DA3DDA" w:rsidP="0006165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DA3DDA" w:rsidRPr="00946B34" w14:paraId="6B096DBD" w14:textId="77777777" w:rsidTr="00DA3DDA">
        <w:trPr>
          <w:trHeight w:val="695"/>
          <w:jc w:val="center"/>
        </w:trPr>
        <w:tc>
          <w:tcPr>
            <w:tcW w:w="5251" w:type="dxa"/>
            <w:gridSpan w:val="2"/>
            <w:shd w:val="clear" w:color="auto" w:fill="262626" w:themeFill="text1" w:themeFillTint="D9"/>
            <w:noWrap/>
            <w:vAlign w:val="center"/>
            <w:hideMark/>
          </w:tcPr>
          <w:p w14:paraId="6F2B5F40" w14:textId="77777777" w:rsidR="00DA3DDA" w:rsidRPr="009918FC" w:rsidRDefault="00DA3DDA" w:rsidP="0006165E">
            <w:pPr>
              <w:spacing w:before="120" w:after="120" w:line="240" w:lineRule="auto"/>
              <w:jc w:val="center"/>
              <w:rPr>
                <w:rFonts w:ascii="Arial Negrita" w:eastAsia="Times New Roman" w:hAnsi="Arial Negrita" w:cs="Arial"/>
                <w:b/>
                <w:bCs/>
                <w:color w:val="FFFFFF" w:themeColor="background1"/>
                <w:spacing w:val="40"/>
                <w:lang w:val="it-IT" w:eastAsia="es-MX"/>
              </w:rPr>
            </w:pPr>
            <w:r w:rsidRPr="009918FC">
              <w:rPr>
                <w:rFonts w:ascii="Arial Negrita" w:eastAsia="Times New Roman" w:hAnsi="Arial Negrita" w:cs="Arial"/>
                <w:b/>
                <w:bCs/>
                <w:color w:val="FFFFFF" w:themeColor="background1"/>
                <w:spacing w:val="40"/>
                <w:lang w:val="it-IT" w:eastAsia="es-MX"/>
              </w:rPr>
              <w:t xml:space="preserve">I V A </w:t>
            </w:r>
          </w:p>
        </w:tc>
        <w:tc>
          <w:tcPr>
            <w:tcW w:w="4105" w:type="dxa"/>
            <w:shd w:val="clear" w:color="auto" w:fill="auto"/>
            <w:vAlign w:val="center"/>
            <w:hideMark/>
          </w:tcPr>
          <w:p w14:paraId="2E145C60" w14:textId="77777777" w:rsidR="00DA3DDA" w:rsidRPr="009918FC" w:rsidRDefault="00DA3DDA" w:rsidP="0006165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  <w:tr w:rsidR="00DA3DDA" w:rsidRPr="00946B34" w14:paraId="351DF298" w14:textId="77777777" w:rsidTr="00DA3DDA">
        <w:trPr>
          <w:trHeight w:val="780"/>
          <w:jc w:val="center"/>
        </w:trPr>
        <w:tc>
          <w:tcPr>
            <w:tcW w:w="5251" w:type="dxa"/>
            <w:gridSpan w:val="2"/>
            <w:shd w:val="clear" w:color="auto" w:fill="262626" w:themeFill="text1" w:themeFillTint="D9"/>
            <w:noWrap/>
            <w:vAlign w:val="center"/>
            <w:hideMark/>
          </w:tcPr>
          <w:p w14:paraId="75141A18" w14:textId="1F3A03BB" w:rsidR="00DA3DDA" w:rsidRDefault="00DA3DDA" w:rsidP="00560E37">
            <w:pPr>
              <w:spacing w:before="120" w:after="0" w:line="240" w:lineRule="auto"/>
              <w:jc w:val="center"/>
              <w:rPr>
                <w:rFonts w:ascii="Arial Negrita" w:eastAsia="Times New Roman" w:hAnsi="Arial Negrita" w:cs="Arial"/>
                <w:b/>
                <w:bCs/>
                <w:color w:val="FFFFFF" w:themeColor="background1"/>
                <w:spacing w:val="40"/>
                <w:sz w:val="20"/>
                <w:szCs w:val="20"/>
                <w:lang w:val="it-IT" w:eastAsia="es-MX"/>
              </w:rPr>
            </w:pPr>
            <w:r w:rsidRPr="009918FC">
              <w:rPr>
                <w:rFonts w:ascii="Arial Negrita" w:eastAsia="Times New Roman" w:hAnsi="Arial Negrita" w:cs="Arial"/>
                <w:b/>
                <w:bCs/>
                <w:color w:val="FFFFFF" w:themeColor="background1"/>
                <w:spacing w:val="40"/>
                <w:lang w:val="it-IT" w:eastAsia="es-MX"/>
              </w:rPr>
              <w:t xml:space="preserve"> </w:t>
            </w:r>
            <w:r w:rsidRPr="00560E37">
              <w:rPr>
                <w:rFonts w:ascii="Arial Negrita" w:eastAsia="Times New Roman" w:hAnsi="Arial Negrita" w:cs="Arial"/>
                <w:b/>
                <w:bCs/>
                <w:color w:val="FFFFFF" w:themeColor="background1"/>
                <w:spacing w:val="40"/>
                <w:sz w:val="20"/>
                <w:szCs w:val="20"/>
                <w:lang w:val="it-IT" w:eastAsia="es-MX"/>
              </w:rPr>
              <w:t xml:space="preserve">(I M P O R T E    T O T A L    C O N   N Ú M E R O  Y   </w:t>
            </w:r>
          </w:p>
          <w:p w14:paraId="26C70B95" w14:textId="0FADDDE6" w:rsidR="00DA3DDA" w:rsidRPr="00560E37" w:rsidRDefault="00DA3DDA" w:rsidP="00560E37">
            <w:pPr>
              <w:spacing w:after="120" w:line="240" w:lineRule="auto"/>
              <w:jc w:val="center"/>
              <w:rPr>
                <w:rFonts w:ascii="Arial Negrita" w:eastAsia="Times New Roman" w:hAnsi="Arial Negrita" w:cs="Arial"/>
                <w:b/>
                <w:bCs/>
                <w:color w:val="FFFFFF" w:themeColor="background1"/>
                <w:spacing w:val="40"/>
                <w:sz w:val="20"/>
                <w:szCs w:val="20"/>
                <w:lang w:val="it-IT" w:eastAsia="es-MX"/>
              </w:rPr>
            </w:pPr>
            <w:r w:rsidRPr="00560E37">
              <w:rPr>
                <w:rFonts w:ascii="Arial Negrita" w:eastAsia="Times New Roman" w:hAnsi="Arial Negrita" w:cs="Arial"/>
                <w:b/>
                <w:bCs/>
                <w:color w:val="FFFFFF" w:themeColor="background1"/>
                <w:spacing w:val="40"/>
                <w:sz w:val="20"/>
                <w:szCs w:val="20"/>
                <w:lang w:val="it-IT" w:eastAsia="es-MX"/>
              </w:rPr>
              <w:t xml:space="preserve">L E T R A) </w:t>
            </w:r>
          </w:p>
        </w:tc>
        <w:tc>
          <w:tcPr>
            <w:tcW w:w="4105" w:type="dxa"/>
            <w:shd w:val="clear" w:color="auto" w:fill="auto"/>
            <w:vAlign w:val="center"/>
            <w:hideMark/>
          </w:tcPr>
          <w:p w14:paraId="34E08E3D" w14:textId="77777777" w:rsidR="00DA3DDA" w:rsidRPr="009918FC" w:rsidRDefault="00DA3DDA" w:rsidP="0006165E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</w:pP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t xml:space="preserve">PRECIO CON NÚMERO </w:t>
            </w:r>
            <w:r w:rsidRPr="009918F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es-MX"/>
              </w:rPr>
              <w:br/>
              <w:t>LETRA</w:t>
            </w:r>
          </w:p>
        </w:tc>
      </w:tr>
    </w:tbl>
    <w:p w14:paraId="06659907" w14:textId="77777777" w:rsidR="00560E37" w:rsidRDefault="00560E37" w:rsidP="00560E3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2AC577F" w14:textId="77777777" w:rsidR="00560E37" w:rsidRDefault="00560E37" w:rsidP="00560E3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8A54E39" w14:textId="77777777" w:rsidR="00560E37" w:rsidRDefault="00560E37" w:rsidP="00560E3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 la persona participante </w:t>
      </w:r>
    </w:p>
    <w:p w14:paraId="68B6A531" w14:textId="77777777" w:rsidR="00560E37" w:rsidRDefault="00560E37" w:rsidP="00560E3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o su representante legal </w:t>
      </w:r>
    </w:p>
    <w:p w14:paraId="41EC3A64" w14:textId="77777777" w:rsidR="00560E37" w:rsidRDefault="00560E37" w:rsidP="00560E3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________________________________________________________________________</w:t>
      </w:r>
    </w:p>
    <w:p w14:paraId="1E88F642" w14:textId="77777777" w:rsidR="00560E37" w:rsidRDefault="00560E37" w:rsidP="00560E3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075BF2FC" w14:textId="77777777" w:rsidR="00560E37" w:rsidRDefault="00560E37" w:rsidP="00560E3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6D855914" w14:textId="77777777" w:rsidR="00560E37" w:rsidRDefault="00560E37" w:rsidP="00560E3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Nombre y firma del participante </w:t>
      </w:r>
    </w:p>
    <w:p w14:paraId="400770F4" w14:textId="450F562A" w:rsidR="00560E37" w:rsidRDefault="00560E37" w:rsidP="00F24E07">
      <w:pPr>
        <w:spacing w:after="0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sectPr w:rsidR="00560E37" w:rsidSect="00585341">
      <w:headerReference w:type="default" r:id="rId11"/>
      <w:footerReference w:type="default" r:id="rId12"/>
      <w:pgSz w:w="12240" w:h="15840" w:code="1"/>
      <w:pgMar w:top="1440" w:right="1080" w:bottom="426" w:left="1080" w:header="539" w:footer="26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98744" w14:textId="77777777" w:rsidR="00130BCC" w:rsidRDefault="00130BCC" w:rsidP="00C451B3">
      <w:pPr>
        <w:spacing w:after="0" w:line="240" w:lineRule="auto"/>
      </w:pPr>
      <w:r>
        <w:separator/>
      </w:r>
    </w:p>
  </w:endnote>
  <w:endnote w:type="continuationSeparator" w:id="0">
    <w:p w14:paraId="10C6BD49" w14:textId="77777777" w:rsidR="00130BCC" w:rsidRDefault="00130BCC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egrita">
    <w:panose1 w:val="00000000000000000000"/>
    <w:charset w:val="00"/>
    <w:family w:val="roman"/>
    <w:notTrueType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2270D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41E6D6BB" w14:textId="77777777" w:rsidR="00CA1BCB" w:rsidRDefault="00CA1BCB" w:rsidP="002234A7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  <w:p w14:paraId="35631A5D" w14:textId="74A4E476" w:rsidR="00574AC8" w:rsidRPr="00AA0EAA" w:rsidRDefault="00A967E2" w:rsidP="002234A7">
    <w:pPr>
      <w:pStyle w:val="Piedepgina"/>
      <w:ind w:right="-552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</w:t>
    </w:r>
    <w:r w:rsidR="00C26435">
      <w:rPr>
        <w:rFonts w:ascii="Arial" w:hAnsi="Arial" w:cs="Arial"/>
        <w:sz w:val="10"/>
        <w:szCs w:val="10"/>
        <w:lang w:val="pt-PT"/>
      </w:rPr>
      <w:t>PS</w:t>
    </w:r>
    <w:r>
      <w:rPr>
        <w:rFonts w:ascii="Arial" w:hAnsi="Arial" w:cs="Arial"/>
        <w:sz w:val="10"/>
        <w:szCs w:val="10"/>
        <w:lang w:val="pt-PT"/>
      </w:rPr>
      <w:t>/DGIF-DACCI/0</w:t>
    </w:r>
    <w:r w:rsidR="00560E37">
      <w:rPr>
        <w:rFonts w:ascii="Arial" w:hAnsi="Arial" w:cs="Arial"/>
        <w:sz w:val="10"/>
        <w:szCs w:val="10"/>
        <w:lang w:val="pt-PT"/>
      </w:rPr>
      <w:t>33</w:t>
    </w:r>
    <w:r>
      <w:rPr>
        <w:rFonts w:ascii="Arial" w:hAnsi="Arial" w:cs="Arial"/>
        <w:sz w:val="10"/>
        <w:szCs w:val="10"/>
        <w:lang w:val="pt-PT"/>
      </w:rPr>
      <w:t>/202</w:t>
    </w:r>
    <w:r w:rsidR="00C26435">
      <w:rPr>
        <w:rFonts w:ascii="Arial" w:hAnsi="Arial" w:cs="Arial"/>
        <w:sz w:val="10"/>
        <w:szCs w:val="10"/>
        <w:lang w:val="pt-PT"/>
      </w:rPr>
      <w:t>4</w:t>
    </w:r>
    <w:r>
      <w:rPr>
        <w:rFonts w:ascii="Arial" w:hAnsi="Arial" w:cs="Arial"/>
        <w:sz w:val="10"/>
        <w:szCs w:val="10"/>
        <w:lang w:val="pt-PT"/>
      </w:rPr>
      <w:t xml:space="preserve"> ANEXO </w:t>
    </w:r>
    <w:r w:rsidR="001643A1">
      <w:rPr>
        <w:rFonts w:ascii="Arial" w:hAnsi="Arial" w:cs="Arial"/>
        <w:sz w:val="10"/>
        <w:szCs w:val="10"/>
        <w:lang w:val="en-US"/>
      </w:rPr>
      <w:t>1</w:t>
    </w:r>
    <w:r w:rsidR="00795296">
      <w:rPr>
        <w:rFonts w:ascii="Arial" w:hAnsi="Arial" w:cs="Arial"/>
        <w:sz w:val="10"/>
        <w:szCs w:val="10"/>
        <w:lang w:val="en-US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5FCBF9" w14:textId="77777777" w:rsidR="00130BCC" w:rsidRDefault="00130BCC" w:rsidP="00C451B3">
      <w:pPr>
        <w:spacing w:after="0" w:line="240" w:lineRule="auto"/>
      </w:pPr>
      <w:r>
        <w:separator/>
      </w:r>
    </w:p>
  </w:footnote>
  <w:footnote w:type="continuationSeparator" w:id="0">
    <w:p w14:paraId="145DB1E1" w14:textId="77777777" w:rsidR="00130BCC" w:rsidRDefault="00130BCC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8421D" w14:textId="77777777" w:rsidR="00C81A43" w:rsidRPr="00AE645B" w:rsidRDefault="00C81A43" w:rsidP="00984748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CONCURSO PÚBLICO SUMARIO SCJN/CPS/DGIF-DACCI/0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33</w:t>
    </w:r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/202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4</w:t>
    </w:r>
  </w:p>
  <w:p w14:paraId="0BED2170" w14:textId="77777777" w:rsidR="00C81A43" w:rsidRDefault="00C81A43" w:rsidP="00984748">
    <w:pPr>
      <w:spacing w:after="0" w:line="288" w:lineRule="auto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</w:pPr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“</w:t>
    </w:r>
    <w:bookmarkStart w:id="2" w:name="_Hlk170986955"/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DIAGNÓSTICO INTEGRAL EN MATERIA DE ACCESIBILIDAD 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DE LOS INMUEBLES</w:t>
    </w:r>
  </w:p>
  <w:p w14:paraId="2328836E" w14:textId="72BB1ECE" w:rsidR="00C81A43" w:rsidRPr="00440BAA" w:rsidRDefault="00C81A43" w:rsidP="00984748">
    <w:pPr>
      <w:spacing w:after="0" w:line="288" w:lineRule="auto"/>
      <w:ind w:right="17"/>
      <w:jc w:val="center"/>
    </w:pPr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DE LA SUPREMA CORTE DE JUSTICIA DE LA NACIÓN</w:t>
    </w:r>
    <w:bookmarkEnd w:id="2"/>
    <w:r w:rsidR="001D38D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 xml:space="preserve"> UBICADOS EN LA CIUDAD DE MÉXICO</w:t>
    </w:r>
    <w:r w:rsidRPr="00AE645B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pt-PT"/>
      </w:rPr>
      <w:t>”</w:t>
    </w:r>
  </w:p>
  <w:p w14:paraId="68D6FF5C" w14:textId="414CF7AD" w:rsidR="00574AC8" w:rsidRPr="00CB78F1" w:rsidRDefault="00574AC8" w:rsidP="00CB78F1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575128"/>
    <w:multiLevelType w:val="hybridMultilevel"/>
    <w:tmpl w:val="C8DC276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B6552"/>
    <w:multiLevelType w:val="hybridMultilevel"/>
    <w:tmpl w:val="B202775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7C7E74"/>
    <w:multiLevelType w:val="hybridMultilevel"/>
    <w:tmpl w:val="C670536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497B06"/>
    <w:multiLevelType w:val="hybridMultilevel"/>
    <w:tmpl w:val="FBFCBA0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9E7756"/>
    <w:multiLevelType w:val="hybridMultilevel"/>
    <w:tmpl w:val="6B228B44"/>
    <w:lvl w:ilvl="0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444527B"/>
    <w:multiLevelType w:val="hybridMultilevel"/>
    <w:tmpl w:val="E78EBAD6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A2128E"/>
    <w:multiLevelType w:val="hybridMultilevel"/>
    <w:tmpl w:val="B6E26FFA"/>
    <w:lvl w:ilvl="0" w:tplc="69D2F7DC">
      <w:start w:val="1"/>
      <w:numFmt w:val="lowerLetter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51296A0A"/>
    <w:multiLevelType w:val="hybridMultilevel"/>
    <w:tmpl w:val="B6E26FF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B788D"/>
    <w:multiLevelType w:val="hybridMultilevel"/>
    <w:tmpl w:val="328CA06A"/>
    <w:lvl w:ilvl="0" w:tplc="CDD86806">
      <w:start w:val="1"/>
      <w:numFmt w:val="bullet"/>
      <w:lvlText w:val=""/>
      <w:lvlJc w:val="left"/>
      <w:pPr>
        <w:ind w:left="185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688B5B98"/>
    <w:multiLevelType w:val="hybridMultilevel"/>
    <w:tmpl w:val="B3647AEA"/>
    <w:lvl w:ilvl="0" w:tplc="CDD86806">
      <w:start w:val="1"/>
      <w:numFmt w:val="bullet"/>
      <w:lvlText w:val=""/>
      <w:lvlJc w:val="left"/>
      <w:pPr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 w15:restartNumberingAfterBreak="0">
    <w:nsid w:val="73E13D56"/>
    <w:multiLevelType w:val="hybridMultilevel"/>
    <w:tmpl w:val="3AEA926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CF11AC"/>
    <w:multiLevelType w:val="hybridMultilevel"/>
    <w:tmpl w:val="4AC0F900"/>
    <w:lvl w:ilvl="0" w:tplc="CDD86806">
      <w:start w:val="1"/>
      <w:numFmt w:val="bullet"/>
      <w:lvlText w:val="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9238550">
    <w:abstractNumId w:val="7"/>
  </w:num>
  <w:num w:numId="2" w16cid:durableId="1559435745">
    <w:abstractNumId w:val="6"/>
  </w:num>
  <w:num w:numId="3" w16cid:durableId="695427390">
    <w:abstractNumId w:val="10"/>
  </w:num>
  <w:num w:numId="4" w16cid:durableId="1590390240">
    <w:abstractNumId w:val="8"/>
  </w:num>
  <w:num w:numId="5" w16cid:durableId="975837455">
    <w:abstractNumId w:val="1"/>
  </w:num>
  <w:num w:numId="6" w16cid:durableId="1667978870">
    <w:abstractNumId w:val="4"/>
  </w:num>
  <w:num w:numId="7" w16cid:durableId="749889396">
    <w:abstractNumId w:val="12"/>
  </w:num>
  <w:num w:numId="8" w16cid:durableId="1152135452">
    <w:abstractNumId w:val="0"/>
  </w:num>
  <w:num w:numId="9" w16cid:durableId="1806965355">
    <w:abstractNumId w:val="2"/>
  </w:num>
  <w:num w:numId="10" w16cid:durableId="1836261147">
    <w:abstractNumId w:val="5"/>
  </w:num>
  <w:num w:numId="11" w16cid:durableId="7032365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63751988">
    <w:abstractNumId w:val="9"/>
  </w:num>
  <w:num w:numId="13" w16cid:durableId="1128930786">
    <w:abstractNumId w:val="11"/>
  </w:num>
  <w:num w:numId="14" w16cid:durableId="2060005631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1267"/>
    <w:rsid w:val="0001454A"/>
    <w:rsid w:val="000238E9"/>
    <w:rsid w:val="00026B1B"/>
    <w:rsid w:val="0003723C"/>
    <w:rsid w:val="0004162B"/>
    <w:rsid w:val="000423E7"/>
    <w:rsid w:val="00042BD9"/>
    <w:rsid w:val="000439D9"/>
    <w:rsid w:val="0005086B"/>
    <w:rsid w:val="00067D8F"/>
    <w:rsid w:val="00090C59"/>
    <w:rsid w:val="00090D53"/>
    <w:rsid w:val="000964B0"/>
    <w:rsid w:val="000A2969"/>
    <w:rsid w:val="000A3C8C"/>
    <w:rsid w:val="000A4B6A"/>
    <w:rsid w:val="000A5520"/>
    <w:rsid w:val="000C5B9D"/>
    <w:rsid w:val="000C5F87"/>
    <w:rsid w:val="000D2B49"/>
    <w:rsid w:val="000D44D5"/>
    <w:rsid w:val="00102445"/>
    <w:rsid w:val="0010720D"/>
    <w:rsid w:val="001077FA"/>
    <w:rsid w:val="00122831"/>
    <w:rsid w:val="00122CE3"/>
    <w:rsid w:val="00125C49"/>
    <w:rsid w:val="00130BCC"/>
    <w:rsid w:val="0014122A"/>
    <w:rsid w:val="00141E19"/>
    <w:rsid w:val="001457EC"/>
    <w:rsid w:val="00145BE7"/>
    <w:rsid w:val="001510CC"/>
    <w:rsid w:val="00153CD6"/>
    <w:rsid w:val="001643A1"/>
    <w:rsid w:val="001734B0"/>
    <w:rsid w:val="00174263"/>
    <w:rsid w:val="0017481B"/>
    <w:rsid w:val="001853A0"/>
    <w:rsid w:val="001917A3"/>
    <w:rsid w:val="001938CC"/>
    <w:rsid w:val="001A025B"/>
    <w:rsid w:val="001A309D"/>
    <w:rsid w:val="001A4E0F"/>
    <w:rsid w:val="001C6016"/>
    <w:rsid w:val="001D38D7"/>
    <w:rsid w:val="001D624C"/>
    <w:rsid w:val="001D76DF"/>
    <w:rsid w:val="001E4A25"/>
    <w:rsid w:val="001E5F73"/>
    <w:rsid w:val="001E64EF"/>
    <w:rsid w:val="001E6AF1"/>
    <w:rsid w:val="001E7771"/>
    <w:rsid w:val="001F3775"/>
    <w:rsid w:val="00201A2D"/>
    <w:rsid w:val="00203302"/>
    <w:rsid w:val="0020420C"/>
    <w:rsid w:val="002234A7"/>
    <w:rsid w:val="00225D75"/>
    <w:rsid w:val="002301D2"/>
    <w:rsid w:val="002309D7"/>
    <w:rsid w:val="00230FAB"/>
    <w:rsid w:val="00236AEC"/>
    <w:rsid w:val="002445B6"/>
    <w:rsid w:val="0025195F"/>
    <w:rsid w:val="00253662"/>
    <w:rsid w:val="002548B4"/>
    <w:rsid w:val="0026392C"/>
    <w:rsid w:val="0026751A"/>
    <w:rsid w:val="00277993"/>
    <w:rsid w:val="0029385B"/>
    <w:rsid w:val="002A1EAC"/>
    <w:rsid w:val="002A2CBF"/>
    <w:rsid w:val="002A4CA1"/>
    <w:rsid w:val="002B16E4"/>
    <w:rsid w:val="002C1168"/>
    <w:rsid w:val="002C1F40"/>
    <w:rsid w:val="002D11D0"/>
    <w:rsid w:val="002E1A1F"/>
    <w:rsid w:val="002E1E06"/>
    <w:rsid w:val="002E3318"/>
    <w:rsid w:val="002F2505"/>
    <w:rsid w:val="002F63B3"/>
    <w:rsid w:val="003021E9"/>
    <w:rsid w:val="00320A59"/>
    <w:rsid w:val="003242DC"/>
    <w:rsid w:val="00347AD0"/>
    <w:rsid w:val="003500FE"/>
    <w:rsid w:val="00360B8A"/>
    <w:rsid w:val="00362AB2"/>
    <w:rsid w:val="0036612D"/>
    <w:rsid w:val="003672AD"/>
    <w:rsid w:val="00372885"/>
    <w:rsid w:val="00377CDA"/>
    <w:rsid w:val="00380835"/>
    <w:rsid w:val="00385887"/>
    <w:rsid w:val="00392608"/>
    <w:rsid w:val="003B0C23"/>
    <w:rsid w:val="003B503B"/>
    <w:rsid w:val="003C7A8A"/>
    <w:rsid w:val="003E2E6D"/>
    <w:rsid w:val="003E5B56"/>
    <w:rsid w:val="003E5D50"/>
    <w:rsid w:val="003F034E"/>
    <w:rsid w:val="00411237"/>
    <w:rsid w:val="004373CB"/>
    <w:rsid w:val="00441D4B"/>
    <w:rsid w:val="00447474"/>
    <w:rsid w:val="00452253"/>
    <w:rsid w:val="0045750C"/>
    <w:rsid w:val="004607B5"/>
    <w:rsid w:val="00461496"/>
    <w:rsid w:val="00466F81"/>
    <w:rsid w:val="00476279"/>
    <w:rsid w:val="00480765"/>
    <w:rsid w:val="00480BE1"/>
    <w:rsid w:val="0049183B"/>
    <w:rsid w:val="004948F6"/>
    <w:rsid w:val="00494D10"/>
    <w:rsid w:val="004A34AD"/>
    <w:rsid w:val="004A61C3"/>
    <w:rsid w:val="004B300A"/>
    <w:rsid w:val="004C32A4"/>
    <w:rsid w:val="004E27E1"/>
    <w:rsid w:val="004E7FDB"/>
    <w:rsid w:val="00515EE6"/>
    <w:rsid w:val="00516C95"/>
    <w:rsid w:val="00521B53"/>
    <w:rsid w:val="00554477"/>
    <w:rsid w:val="00554CD9"/>
    <w:rsid w:val="00560D33"/>
    <w:rsid w:val="00560E37"/>
    <w:rsid w:val="00567E01"/>
    <w:rsid w:val="00571F1D"/>
    <w:rsid w:val="0057268D"/>
    <w:rsid w:val="00573BC3"/>
    <w:rsid w:val="0057492D"/>
    <w:rsid w:val="00574AC8"/>
    <w:rsid w:val="00577641"/>
    <w:rsid w:val="00585341"/>
    <w:rsid w:val="00591162"/>
    <w:rsid w:val="00593719"/>
    <w:rsid w:val="005A184A"/>
    <w:rsid w:val="005A6FCA"/>
    <w:rsid w:val="005B3E2D"/>
    <w:rsid w:val="005D336A"/>
    <w:rsid w:val="005D4A68"/>
    <w:rsid w:val="005D5A83"/>
    <w:rsid w:val="005E68BD"/>
    <w:rsid w:val="005E6D25"/>
    <w:rsid w:val="005F2C3F"/>
    <w:rsid w:val="005F3856"/>
    <w:rsid w:val="006027EC"/>
    <w:rsid w:val="00606AD3"/>
    <w:rsid w:val="00626160"/>
    <w:rsid w:val="006279E5"/>
    <w:rsid w:val="006336F5"/>
    <w:rsid w:val="0064592C"/>
    <w:rsid w:val="006474CA"/>
    <w:rsid w:val="00650A36"/>
    <w:rsid w:val="00653476"/>
    <w:rsid w:val="00653B3F"/>
    <w:rsid w:val="00655A16"/>
    <w:rsid w:val="00675577"/>
    <w:rsid w:val="00676416"/>
    <w:rsid w:val="006811E6"/>
    <w:rsid w:val="00682FD1"/>
    <w:rsid w:val="0068555D"/>
    <w:rsid w:val="0068739F"/>
    <w:rsid w:val="00687FE2"/>
    <w:rsid w:val="0069083F"/>
    <w:rsid w:val="00692C61"/>
    <w:rsid w:val="00695EC3"/>
    <w:rsid w:val="006964D6"/>
    <w:rsid w:val="006A3B7A"/>
    <w:rsid w:val="006B1686"/>
    <w:rsid w:val="006B6FD3"/>
    <w:rsid w:val="006C5789"/>
    <w:rsid w:val="006C58F2"/>
    <w:rsid w:val="006D23D1"/>
    <w:rsid w:val="006D7180"/>
    <w:rsid w:val="007072D6"/>
    <w:rsid w:val="00733C83"/>
    <w:rsid w:val="00734518"/>
    <w:rsid w:val="00736B3A"/>
    <w:rsid w:val="00736BFC"/>
    <w:rsid w:val="00740B31"/>
    <w:rsid w:val="00744C8A"/>
    <w:rsid w:val="007459C7"/>
    <w:rsid w:val="00745DD4"/>
    <w:rsid w:val="00750D3F"/>
    <w:rsid w:val="00757404"/>
    <w:rsid w:val="00766173"/>
    <w:rsid w:val="00766362"/>
    <w:rsid w:val="00775D21"/>
    <w:rsid w:val="00795296"/>
    <w:rsid w:val="007A0003"/>
    <w:rsid w:val="007A10F4"/>
    <w:rsid w:val="007A766A"/>
    <w:rsid w:val="007C497B"/>
    <w:rsid w:val="007C4FD9"/>
    <w:rsid w:val="007D49DB"/>
    <w:rsid w:val="007E53CB"/>
    <w:rsid w:val="007F44E2"/>
    <w:rsid w:val="007F6593"/>
    <w:rsid w:val="007F6F0B"/>
    <w:rsid w:val="008033C8"/>
    <w:rsid w:val="008143EC"/>
    <w:rsid w:val="00822643"/>
    <w:rsid w:val="0083447D"/>
    <w:rsid w:val="008355E7"/>
    <w:rsid w:val="00836556"/>
    <w:rsid w:val="008416A4"/>
    <w:rsid w:val="0085023D"/>
    <w:rsid w:val="008515A5"/>
    <w:rsid w:val="008600A2"/>
    <w:rsid w:val="00863702"/>
    <w:rsid w:val="00863823"/>
    <w:rsid w:val="00864B3F"/>
    <w:rsid w:val="008672B5"/>
    <w:rsid w:val="00871E8A"/>
    <w:rsid w:val="008821EF"/>
    <w:rsid w:val="00884100"/>
    <w:rsid w:val="00887597"/>
    <w:rsid w:val="00890CEB"/>
    <w:rsid w:val="008964B1"/>
    <w:rsid w:val="008B483E"/>
    <w:rsid w:val="008B4A58"/>
    <w:rsid w:val="008C0283"/>
    <w:rsid w:val="008C483C"/>
    <w:rsid w:val="008D3D99"/>
    <w:rsid w:val="008E06FC"/>
    <w:rsid w:val="008E233D"/>
    <w:rsid w:val="008E6AE7"/>
    <w:rsid w:val="008F0E8A"/>
    <w:rsid w:val="008F637B"/>
    <w:rsid w:val="008F74F6"/>
    <w:rsid w:val="00903CC8"/>
    <w:rsid w:val="00903F92"/>
    <w:rsid w:val="009067ED"/>
    <w:rsid w:val="009142D8"/>
    <w:rsid w:val="0093004C"/>
    <w:rsid w:val="00937A60"/>
    <w:rsid w:val="00941A23"/>
    <w:rsid w:val="00945FA3"/>
    <w:rsid w:val="009462E6"/>
    <w:rsid w:val="00947359"/>
    <w:rsid w:val="009521D6"/>
    <w:rsid w:val="009615F5"/>
    <w:rsid w:val="009626F6"/>
    <w:rsid w:val="009647C3"/>
    <w:rsid w:val="00966D54"/>
    <w:rsid w:val="00967777"/>
    <w:rsid w:val="00971FD4"/>
    <w:rsid w:val="00972CF5"/>
    <w:rsid w:val="00975EF1"/>
    <w:rsid w:val="009836EC"/>
    <w:rsid w:val="00984748"/>
    <w:rsid w:val="009915AF"/>
    <w:rsid w:val="009975DD"/>
    <w:rsid w:val="009A0DF1"/>
    <w:rsid w:val="009A0EC9"/>
    <w:rsid w:val="009A3654"/>
    <w:rsid w:val="009A47B0"/>
    <w:rsid w:val="009B3493"/>
    <w:rsid w:val="009D0A63"/>
    <w:rsid w:val="009D2669"/>
    <w:rsid w:val="009D65F8"/>
    <w:rsid w:val="009D74E5"/>
    <w:rsid w:val="009E0D8A"/>
    <w:rsid w:val="009F0C2B"/>
    <w:rsid w:val="009F4660"/>
    <w:rsid w:val="00A0634C"/>
    <w:rsid w:val="00A131F7"/>
    <w:rsid w:val="00A15F35"/>
    <w:rsid w:val="00A25EA4"/>
    <w:rsid w:val="00A31970"/>
    <w:rsid w:val="00A31C1E"/>
    <w:rsid w:val="00A3244A"/>
    <w:rsid w:val="00A32675"/>
    <w:rsid w:val="00A36096"/>
    <w:rsid w:val="00A3702A"/>
    <w:rsid w:val="00A41300"/>
    <w:rsid w:val="00A53937"/>
    <w:rsid w:val="00A64529"/>
    <w:rsid w:val="00A65441"/>
    <w:rsid w:val="00A71CF4"/>
    <w:rsid w:val="00A72513"/>
    <w:rsid w:val="00A85B4B"/>
    <w:rsid w:val="00A967E2"/>
    <w:rsid w:val="00AA0EAA"/>
    <w:rsid w:val="00AA19DB"/>
    <w:rsid w:val="00AB1567"/>
    <w:rsid w:val="00AB6076"/>
    <w:rsid w:val="00AD00E4"/>
    <w:rsid w:val="00AD3F66"/>
    <w:rsid w:val="00AF4502"/>
    <w:rsid w:val="00B132BD"/>
    <w:rsid w:val="00B237C7"/>
    <w:rsid w:val="00B23FB0"/>
    <w:rsid w:val="00B24C4F"/>
    <w:rsid w:val="00B30D36"/>
    <w:rsid w:val="00B357EE"/>
    <w:rsid w:val="00B4128D"/>
    <w:rsid w:val="00B42B1B"/>
    <w:rsid w:val="00B53B2C"/>
    <w:rsid w:val="00B5447A"/>
    <w:rsid w:val="00B57110"/>
    <w:rsid w:val="00B631F8"/>
    <w:rsid w:val="00B65591"/>
    <w:rsid w:val="00B759A8"/>
    <w:rsid w:val="00B810E1"/>
    <w:rsid w:val="00B84F9B"/>
    <w:rsid w:val="00B87C1A"/>
    <w:rsid w:val="00B94C5E"/>
    <w:rsid w:val="00B95CFC"/>
    <w:rsid w:val="00B95E94"/>
    <w:rsid w:val="00B97A1C"/>
    <w:rsid w:val="00BA11E5"/>
    <w:rsid w:val="00BA512E"/>
    <w:rsid w:val="00BA78B1"/>
    <w:rsid w:val="00BB0450"/>
    <w:rsid w:val="00BB0904"/>
    <w:rsid w:val="00BB1C07"/>
    <w:rsid w:val="00BB289B"/>
    <w:rsid w:val="00BB37FC"/>
    <w:rsid w:val="00BC009C"/>
    <w:rsid w:val="00BE449A"/>
    <w:rsid w:val="00BE6B5F"/>
    <w:rsid w:val="00BF4857"/>
    <w:rsid w:val="00C07E71"/>
    <w:rsid w:val="00C16A58"/>
    <w:rsid w:val="00C20B10"/>
    <w:rsid w:val="00C2104A"/>
    <w:rsid w:val="00C22E68"/>
    <w:rsid w:val="00C230C0"/>
    <w:rsid w:val="00C26435"/>
    <w:rsid w:val="00C343D2"/>
    <w:rsid w:val="00C35D8B"/>
    <w:rsid w:val="00C35F02"/>
    <w:rsid w:val="00C40132"/>
    <w:rsid w:val="00C451B3"/>
    <w:rsid w:val="00C528FC"/>
    <w:rsid w:val="00C56312"/>
    <w:rsid w:val="00C62755"/>
    <w:rsid w:val="00C6437A"/>
    <w:rsid w:val="00C76AAE"/>
    <w:rsid w:val="00C7770C"/>
    <w:rsid w:val="00C77D4D"/>
    <w:rsid w:val="00C81A43"/>
    <w:rsid w:val="00C87FBC"/>
    <w:rsid w:val="00C90C2D"/>
    <w:rsid w:val="00C91095"/>
    <w:rsid w:val="00C93A96"/>
    <w:rsid w:val="00C94FA0"/>
    <w:rsid w:val="00CA1BCB"/>
    <w:rsid w:val="00CA43B1"/>
    <w:rsid w:val="00CA5B56"/>
    <w:rsid w:val="00CA7A60"/>
    <w:rsid w:val="00CB78F1"/>
    <w:rsid w:val="00CC5CA3"/>
    <w:rsid w:val="00CF3B8F"/>
    <w:rsid w:val="00CF4099"/>
    <w:rsid w:val="00D052C8"/>
    <w:rsid w:val="00D05A3E"/>
    <w:rsid w:val="00D07D95"/>
    <w:rsid w:val="00D14F0D"/>
    <w:rsid w:val="00D159D4"/>
    <w:rsid w:val="00D21124"/>
    <w:rsid w:val="00D226EF"/>
    <w:rsid w:val="00D2449A"/>
    <w:rsid w:val="00D24A0D"/>
    <w:rsid w:val="00D25CD9"/>
    <w:rsid w:val="00D47D19"/>
    <w:rsid w:val="00D570FB"/>
    <w:rsid w:val="00D63359"/>
    <w:rsid w:val="00D63F85"/>
    <w:rsid w:val="00D72960"/>
    <w:rsid w:val="00D84702"/>
    <w:rsid w:val="00D91A6A"/>
    <w:rsid w:val="00DA243B"/>
    <w:rsid w:val="00DA3DDA"/>
    <w:rsid w:val="00DA7439"/>
    <w:rsid w:val="00DB39C2"/>
    <w:rsid w:val="00DB63E6"/>
    <w:rsid w:val="00DD2873"/>
    <w:rsid w:val="00DE47C6"/>
    <w:rsid w:val="00DF5573"/>
    <w:rsid w:val="00E0395A"/>
    <w:rsid w:val="00E20EA1"/>
    <w:rsid w:val="00E213CA"/>
    <w:rsid w:val="00E2460C"/>
    <w:rsid w:val="00E34B8D"/>
    <w:rsid w:val="00E670B3"/>
    <w:rsid w:val="00E72281"/>
    <w:rsid w:val="00E97B5C"/>
    <w:rsid w:val="00EA074C"/>
    <w:rsid w:val="00EA5D92"/>
    <w:rsid w:val="00EA6E34"/>
    <w:rsid w:val="00EB1912"/>
    <w:rsid w:val="00EB4253"/>
    <w:rsid w:val="00EB6FC8"/>
    <w:rsid w:val="00ED754E"/>
    <w:rsid w:val="00EE309F"/>
    <w:rsid w:val="00EE32A1"/>
    <w:rsid w:val="00EE3766"/>
    <w:rsid w:val="00EF7700"/>
    <w:rsid w:val="00EF7776"/>
    <w:rsid w:val="00F01F2A"/>
    <w:rsid w:val="00F02BE5"/>
    <w:rsid w:val="00F14A27"/>
    <w:rsid w:val="00F15130"/>
    <w:rsid w:val="00F24E07"/>
    <w:rsid w:val="00F26AD4"/>
    <w:rsid w:val="00F411A7"/>
    <w:rsid w:val="00F4302D"/>
    <w:rsid w:val="00F46B1C"/>
    <w:rsid w:val="00F504D0"/>
    <w:rsid w:val="00F51557"/>
    <w:rsid w:val="00F60A9C"/>
    <w:rsid w:val="00F73DE6"/>
    <w:rsid w:val="00F74070"/>
    <w:rsid w:val="00F74EA7"/>
    <w:rsid w:val="00F82CE6"/>
    <w:rsid w:val="00FA130D"/>
    <w:rsid w:val="00FB5072"/>
    <w:rsid w:val="00FC0237"/>
    <w:rsid w:val="00FD77B1"/>
    <w:rsid w:val="00FE2FEF"/>
    <w:rsid w:val="00FE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2960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0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0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3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BEE0625-D24A-4131-8A22-5F0C6A21355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1594</Words>
  <Characters>8770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10344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3</cp:revision>
  <cp:lastPrinted>2020-02-10T18:59:00Z</cp:lastPrinted>
  <dcterms:created xsi:type="dcterms:W3CDTF">2024-07-17T01:50:00Z</dcterms:created>
  <dcterms:modified xsi:type="dcterms:W3CDTF">2024-07-17T01:57:00Z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