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5C1A838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2736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30AF23C" w14:textId="29E97D58" w:rsidR="00AD7F5B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1D771570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7C7E3549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10CF3C4A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948A5A4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3077EB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194E8F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C3D9700" w14:textId="48B9B494" w:rsid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1730A20A" w14:textId="5098B830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60F456F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 contados a partir del día hábil siguiente a la formalización del instrumento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6423C6DE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trabajos debidamente ejecutados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DA932AD" w14:textId="1427F0EB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</w:t>
      </w:r>
      <w:r w:rsidR="00B35E8E">
        <w:rPr>
          <w:rFonts w:ascii="Arial" w:eastAsia="Times New Roman" w:hAnsi="Arial"/>
          <w:sz w:val="20"/>
          <w:szCs w:val="20"/>
          <w:lang w:eastAsia="es-ES"/>
        </w:rPr>
        <w:t>la Suprema Corte de Justicia de la Nación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cuente con los recursos presupuestales destinados para tales efectos, de conformidad con lo establecido en los artículos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6D76ABA5" w14:textId="5F049B5A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77777777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25D9ADD" w14:textId="140FD80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C0AF8C6" w14:textId="1C6DCD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6BF6960C" w14:textId="0212AB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DE74D8E" w14:textId="232A0D36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Centro de Desarrollo Infantil, ubicado en Chimalpopoca número 112, esquina San Salvador el Verde, colonia Centro, alcaldía Cuauhtémoc, código postal 06080, Ciudad de México.</w:t>
      </w:r>
    </w:p>
    <w:p w14:paraId="5D9742E2" w14:textId="64F56084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EEDD383" w14:textId="5B73EEE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54D80249" w14:textId="06033E9D" w:rsid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30CE86C7" w:rsidR="0034772F" w:rsidRPr="0034772F" w:rsidRDefault="00581E0B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sesenta días naturales contados a partir del día hábil siguiente a la formalización del instrumento 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08FB8441" w:rsidR="00C47706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de los trabajos debidamente ejecutados y 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6C7E99B" w14:textId="5B52318C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</w:t>
      </w:r>
      <w:r w:rsidR="00B35E8E">
        <w:rPr>
          <w:rFonts w:ascii="Arial" w:eastAsia="Times New Roman" w:hAnsi="Arial"/>
          <w:sz w:val="20"/>
          <w:szCs w:val="20"/>
          <w:lang w:eastAsia="es-ES"/>
        </w:rPr>
        <w:t xml:space="preserve">la Suprema Corte de Justicia de la Nación 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cuente con los recursos presupuestales destinados para tales efectos, de conformidad con lo establecido en los artículos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01261005" w14:textId="76BAA676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6E4D" w14:textId="77777777" w:rsidR="005E20B7" w:rsidRDefault="005E20B7" w:rsidP="00C451B3">
      <w:pPr>
        <w:spacing w:after="0" w:line="240" w:lineRule="auto"/>
      </w:pPr>
      <w:r>
        <w:separator/>
      </w:r>
    </w:p>
  </w:endnote>
  <w:endnote w:type="continuationSeparator" w:id="0">
    <w:p w14:paraId="18D40AA0" w14:textId="77777777" w:rsidR="005E20B7" w:rsidRDefault="005E20B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09C7F5F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D7F5B">
      <w:rPr>
        <w:rFonts w:ascii="Arial" w:hAnsi="Arial" w:cs="Arial"/>
        <w:sz w:val="10"/>
        <w:szCs w:val="10"/>
        <w:lang w:val="pt-PT"/>
      </w:rPr>
      <w:t>48</w:t>
    </w:r>
    <w:r>
      <w:rPr>
        <w:rFonts w:ascii="Arial" w:hAnsi="Arial" w:cs="Arial"/>
        <w:sz w:val="10"/>
        <w:szCs w:val="10"/>
        <w:lang w:val="pt-PT"/>
      </w:rPr>
      <w:t>/202</w:t>
    </w:r>
    <w:r w:rsidR="0098474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717F0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BA62C" w14:textId="77777777" w:rsidR="005E20B7" w:rsidRDefault="005E20B7" w:rsidP="00C451B3">
      <w:pPr>
        <w:spacing w:after="0" w:line="240" w:lineRule="auto"/>
      </w:pPr>
      <w:r>
        <w:separator/>
      </w:r>
    </w:p>
  </w:footnote>
  <w:footnote w:type="continuationSeparator" w:id="0">
    <w:p w14:paraId="5E5CC1BC" w14:textId="77777777" w:rsidR="005E20B7" w:rsidRDefault="005E20B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86CF2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83946436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SCJN/CPS/DGIF-DACCI/048/2024</w:t>
    </w:r>
  </w:p>
  <w:p w14:paraId="2B085BB4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7AB2CF6B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1"/>
  <w:p w14:paraId="2C070650" w14:textId="305B25DD" w:rsidR="001C387C" w:rsidRPr="00B35E8E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13361F"/>
    <w:multiLevelType w:val="hybridMultilevel"/>
    <w:tmpl w:val="04767448"/>
    <w:lvl w:ilvl="0" w:tplc="DC1A6F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6"/>
  </w:num>
  <w:num w:numId="7" w16cid:durableId="749889396">
    <w:abstractNumId w:val="35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8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5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7"/>
  </w:num>
  <w:num w:numId="25" w16cid:durableId="123622238">
    <w:abstractNumId w:val="13"/>
  </w:num>
  <w:num w:numId="26" w16cid:durableId="1890727174">
    <w:abstractNumId w:val="10"/>
  </w:num>
  <w:num w:numId="27" w16cid:durableId="963852821">
    <w:abstractNumId w:val="12"/>
  </w:num>
  <w:num w:numId="28" w16cid:durableId="1947468364">
    <w:abstractNumId w:val="3"/>
  </w:num>
  <w:num w:numId="29" w16cid:durableId="507252959">
    <w:abstractNumId w:val="34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4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3197739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1FDF"/>
    <w:rsid w:val="000C5B9D"/>
    <w:rsid w:val="000C5F87"/>
    <w:rsid w:val="000D2B49"/>
    <w:rsid w:val="000D44D5"/>
    <w:rsid w:val="000E1467"/>
    <w:rsid w:val="000E14E2"/>
    <w:rsid w:val="000E7EB9"/>
    <w:rsid w:val="00100355"/>
    <w:rsid w:val="0010165D"/>
    <w:rsid w:val="00102445"/>
    <w:rsid w:val="00102FE2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41E5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20B7"/>
    <w:rsid w:val="005E68BD"/>
    <w:rsid w:val="005E6D25"/>
    <w:rsid w:val="005F2C3F"/>
    <w:rsid w:val="006027EC"/>
    <w:rsid w:val="006039B0"/>
    <w:rsid w:val="00606AD3"/>
    <w:rsid w:val="006137E8"/>
    <w:rsid w:val="00620827"/>
    <w:rsid w:val="00626160"/>
    <w:rsid w:val="006279E5"/>
    <w:rsid w:val="00631621"/>
    <w:rsid w:val="006336F5"/>
    <w:rsid w:val="0064592C"/>
    <w:rsid w:val="006474CA"/>
    <w:rsid w:val="00650A36"/>
    <w:rsid w:val="00653476"/>
    <w:rsid w:val="00653B3F"/>
    <w:rsid w:val="00655A16"/>
    <w:rsid w:val="00656387"/>
    <w:rsid w:val="006638C3"/>
    <w:rsid w:val="006672BD"/>
    <w:rsid w:val="006678AB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0DB5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26170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D00E4"/>
    <w:rsid w:val="00AD3F66"/>
    <w:rsid w:val="00AD7F5B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0D2F"/>
    <w:rsid w:val="00B810E1"/>
    <w:rsid w:val="00B84F9B"/>
    <w:rsid w:val="00B87C1A"/>
    <w:rsid w:val="00B91618"/>
    <w:rsid w:val="00B94C5E"/>
    <w:rsid w:val="00B95CFC"/>
    <w:rsid w:val="00B95E94"/>
    <w:rsid w:val="00B96178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6F4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670B3"/>
    <w:rsid w:val="00E72281"/>
    <w:rsid w:val="00E760D4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1BAB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2024-10-21T16:14:00Z</cp:lastPrinted>
  <dcterms:created xsi:type="dcterms:W3CDTF">2024-12-16T17:35:00Z</dcterms:created>
  <dcterms:modified xsi:type="dcterms:W3CDTF">2024-12-16T18:39:00Z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