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324" w:rsidRPr="003127F9" w:rsidRDefault="00EE1324" w:rsidP="00EE1324">
      <w:pPr>
        <w:spacing w:line="240" w:lineRule="auto"/>
        <w:ind w:left="2832"/>
        <w:jc w:val="both"/>
        <w:rPr>
          <w:rFonts w:ascii="Arial" w:hAnsi="Arial" w:cs="Arial"/>
          <w:b/>
          <w:sz w:val="28"/>
          <w:szCs w:val="28"/>
        </w:rPr>
      </w:pPr>
      <w:bookmarkStart w:id="0" w:name="_GoBack"/>
      <w:bookmarkEnd w:id="0"/>
      <w:r w:rsidRPr="003127F9">
        <w:rPr>
          <w:rFonts w:ascii="Arial" w:hAnsi="Arial" w:cs="Arial"/>
          <w:b/>
          <w:sz w:val="28"/>
          <w:szCs w:val="28"/>
        </w:rPr>
        <w:t xml:space="preserve">VOTO CONCURRENTE QUE FORMULA EL MINISTRO JAVIER LAYNEZ POTISEK EN LA ACCIÓN DE INCONSTITUCIONALIDAD </w:t>
      </w:r>
      <w:r>
        <w:rPr>
          <w:rFonts w:ascii="Arial" w:hAnsi="Arial" w:cs="Arial"/>
          <w:b/>
          <w:sz w:val="28"/>
          <w:szCs w:val="28"/>
        </w:rPr>
        <w:t>114/2017</w:t>
      </w:r>
    </w:p>
    <w:p w:rsidR="00EE1324" w:rsidRPr="003127F9" w:rsidRDefault="00EE1324" w:rsidP="00EE1324">
      <w:pPr>
        <w:spacing w:line="360" w:lineRule="auto"/>
        <w:contextualSpacing/>
        <w:rPr>
          <w:rFonts w:eastAsia="Calibri" w:cs="Arial"/>
          <w:b/>
          <w:sz w:val="28"/>
          <w:szCs w:val="28"/>
        </w:rPr>
      </w:pPr>
    </w:p>
    <w:p w:rsidR="00EE1324" w:rsidRPr="00883FAF" w:rsidRDefault="00EE1324" w:rsidP="00EE1324">
      <w:pPr>
        <w:pStyle w:val="corte4fondo"/>
        <w:rPr>
          <w:rFonts w:cs="Arial"/>
          <w:sz w:val="27"/>
          <w:szCs w:val="27"/>
          <w:lang w:val="es-ES"/>
        </w:rPr>
      </w:pPr>
      <w:r w:rsidRPr="00883FAF">
        <w:rPr>
          <w:rFonts w:cs="Arial"/>
          <w:sz w:val="27"/>
          <w:szCs w:val="27"/>
          <w:lang w:val="es-ES"/>
        </w:rPr>
        <w:t xml:space="preserve">En sesión de treinta de mayo del dos mil diecinueve, el Pleno de esta Suprema Corte de Justicia de la Nación resolvió la acción de inconstitucionalidad identificada al rubro en </w:t>
      </w:r>
      <w:r w:rsidR="008868EB" w:rsidRPr="00883FAF">
        <w:rPr>
          <w:rFonts w:cs="Arial"/>
          <w:sz w:val="27"/>
          <w:szCs w:val="27"/>
          <w:lang w:val="es-ES"/>
        </w:rPr>
        <w:t xml:space="preserve">la </w:t>
      </w:r>
      <w:r w:rsidRPr="00883FAF">
        <w:rPr>
          <w:rFonts w:cs="Arial"/>
          <w:sz w:val="27"/>
          <w:szCs w:val="27"/>
          <w:lang w:val="es-ES"/>
        </w:rPr>
        <w:t xml:space="preserve">que, entre otras cosas, </w:t>
      </w:r>
      <w:r w:rsidR="00631C5A">
        <w:rPr>
          <w:rFonts w:cs="Arial"/>
          <w:sz w:val="27"/>
          <w:szCs w:val="27"/>
          <w:lang w:val="es-ES"/>
        </w:rPr>
        <w:t xml:space="preserve">se </w:t>
      </w:r>
      <w:r w:rsidRPr="00883FAF">
        <w:rPr>
          <w:rFonts w:cs="Arial"/>
          <w:sz w:val="27"/>
          <w:szCs w:val="27"/>
          <w:lang w:val="es-ES"/>
        </w:rPr>
        <w:t>declaró la invalidez de</w:t>
      </w:r>
      <w:r w:rsidR="00771843" w:rsidRPr="00883FAF">
        <w:rPr>
          <w:rFonts w:cs="Arial"/>
          <w:sz w:val="27"/>
          <w:szCs w:val="27"/>
          <w:lang w:val="es-ES"/>
        </w:rPr>
        <w:t>l artículo</w:t>
      </w:r>
      <w:r w:rsidRPr="00883FAF">
        <w:rPr>
          <w:rFonts w:cs="Arial"/>
          <w:sz w:val="27"/>
          <w:szCs w:val="27"/>
          <w:lang w:val="es-ES"/>
        </w:rPr>
        <w:t xml:space="preserve"> 81, párrafos primero, en las porciones normativas ahí identificadas, y segundo, también en</w:t>
      </w:r>
      <w:r w:rsidR="00771843" w:rsidRPr="00883FAF">
        <w:rPr>
          <w:rFonts w:cs="Arial"/>
          <w:sz w:val="27"/>
          <w:szCs w:val="27"/>
          <w:lang w:val="es-ES"/>
        </w:rPr>
        <w:t xml:space="preserve"> determinada porción normativa, </w:t>
      </w:r>
      <w:r w:rsidRPr="00883FAF">
        <w:rPr>
          <w:rFonts w:cs="Arial"/>
          <w:sz w:val="27"/>
          <w:szCs w:val="27"/>
          <w:lang w:val="es-ES"/>
        </w:rPr>
        <w:t>de la Ley Número 316 de Protección de Datos Personales en Posesión de Sujetos Obligados para el Estado de Veracruz de Ignacio de la Llave, publicada en la Gaceta Oficial de dicha entidad el veintisiete de julio del dos mil diecisiete.</w:t>
      </w:r>
    </w:p>
    <w:p w:rsidR="00EE1324" w:rsidRPr="00883FAF" w:rsidRDefault="00EE1324" w:rsidP="00EE1324">
      <w:pPr>
        <w:pStyle w:val="corte4fondo"/>
        <w:rPr>
          <w:rFonts w:cs="Arial"/>
          <w:sz w:val="27"/>
          <w:szCs w:val="27"/>
          <w:lang w:val="es-ES"/>
        </w:rPr>
      </w:pPr>
    </w:p>
    <w:p w:rsidR="00EE1324" w:rsidRPr="00883FAF" w:rsidRDefault="00EE1324" w:rsidP="00EE1324">
      <w:pPr>
        <w:pStyle w:val="corte4fondo"/>
        <w:rPr>
          <w:rFonts w:cs="Arial"/>
          <w:sz w:val="27"/>
          <w:szCs w:val="27"/>
          <w:lang w:val="es-ES"/>
        </w:rPr>
      </w:pPr>
      <w:r w:rsidRPr="00883FAF">
        <w:rPr>
          <w:rFonts w:cs="Arial"/>
          <w:sz w:val="27"/>
          <w:szCs w:val="27"/>
          <w:lang w:val="es-ES"/>
        </w:rPr>
        <w:t>Aun cuando comparto el sentido de la decisión, respetuosamente me aparto de las consideraciones que la sustentan, por lo siguiente.</w:t>
      </w:r>
    </w:p>
    <w:p w:rsidR="00EE1324" w:rsidRPr="00883FAF" w:rsidRDefault="00EE1324" w:rsidP="00EE1324">
      <w:pPr>
        <w:pStyle w:val="corte4fondo"/>
        <w:rPr>
          <w:rFonts w:cs="Arial"/>
          <w:sz w:val="27"/>
          <w:szCs w:val="27"/>
          <w:lang w:val="es-ES"/>
        </w:rPr>
      </w:pPr>
    </w:p>
    <w:p w:rsidR="00B67FBB" w:rsidRPr="00883FAF" w:rsidRDefault="00EE1324" w:rsidP="00B67FBB">
      <w:pPr>
        <w:pStyle w:val="corte4fondo"/>
        <w:rPr>
          <w:rFonts w:cs="Arial"/>
          <w:sz w:val="27"/>
          <w:szCs w:val="27"/>
          <w:lang w:val="es-ES"/>
        </w:rPr>
      </w:pPr>
      <w:r w:rsidRPr="00883FAF">
        <w:rPr>
          <w:rFonts w:cs="Arial"/>
          <w:sz w:val="27"/>
          <w:szCs w:val="27"/>
          <w:lang w:val="es-ES"/>
        </w:rPr>
        <w:t>Al resolver diversas acciones de inconstitucionalidad, entre ellas, la</w:t>
      </w:r>
      <w:r w:rsidR="00D07E5C" w:rsidRPr="00883FAF">
        <w:rPr>
          <w:rFonts w:cs="Arial"/>
          <w:sz w:val="27"/>
          <w:szCs w:val="27"/>
          <w:lang w:val="es-ES"/>
        </w:rPr>
        <w:t xml:space="preserve"> </w:t>
      </w:r>
      <w:r w:rsidRPr="00883FAF">
        <w:rPr>
          <w:rFonts w:cs="Arial"/>
          <w:sz w:val="27"/>
          <w:szCs w:val="27"/>
          <w:lang w:val="es-ES"/>
        </w:rPr>
        <w:t>112/2017</w:t>
      </w:r>
      <w:r w:rsidR="003841AA" w:rsidRPr="00883FAF">
        <w:rPr>
          <w:rFonts w:cs="Arial"/>
          <w:sz w:val="27"/>
          <w:szCs w:val="27"/>
          <w:lang w:val="es-ES"/>
        </w:rPr>
        <w:t xml:space="preserve"> y 102/2017</w:t>
      </w:r>
      <w:r w:rsidRPr="00883FAF">
        <w:rPr>
          <w:rFonts w:cs="Arial"/>
          <w:sz w:val="27"/>
          <w:szCs w:val="27"/>
          <w:lang w:val="es-ES"/>
        </w:rPr>
        <w:t xml:space="preserve">, </w:t>
      </w:r>
      <w:r w:rsidR="00D07E5C" w:rsidRPr="00883FAF">
        <w:rPr>
          <w:rFonts w:cs="Arial"/>
          <w:sz w:val="27"/>
          <w:szCs w:val="27"/>
          <w:lang w:val="es-ES"/>
        </w:rPr>
        <w:t xml:space="preserve">en sesiones de </w:t>
      </w:r>
      <w:r w:rsidR="003841AA" w:rsidRPr="00883FAF">
        <w:rPr>
          <w:rFonts w:cs="Arial"/>
          <w:sz w:val="27"/>
          <w:szCs w:val="27"/>
          <w:lang w:val="es-ES"/>
        </w:rPr>
        <w:t xml:space="preserve">veintinueve de abril y </w:t>
      </w:r>
      <w:r w:rsidR="00D07E5C" w:rsidRPr="00883FAF">
        <w:rPr>
          <w:rFonts w:cs="Arial"/>
          <w:sz w:val="27"/>
          <w:szCs w:val="27"/>
          <w:lang w:val="es-ES"/>
        </w:rPr>
        <w:t>seis de mayo</w:t>
      </w:r>
      <w:r w:rsidR="003841AA" w:rsidRPr="00883FAF">
        <w:rPr>
          <w:rFonts w:cs="Arial"/>
          <w:sz w:val="27"/>
          <w:szCs w:val="27"/>
          <w:lang w:val="es-ES"/>
        </w:rPr>
        <w:t xml:space="preserve"> del dos mil diecinueve, respectivamente, </w:t>
      </w:r>
      <w:r w:rsidR="00D07E5C" w:rsidRPr="00883FAF">
        <w:rPr>
          <w:rFonts w:cs="Arial"/>
          <w:sz w:val="27"/>
          <w:szCs w:val="27"/>
          <w:lang w:val="es-ES"/>
        </w:rPr>
        <w:t>este Tribunal Pleno analiz</w:t>
      </w:r>
      <w:r w:rsidR="003841AA" w:rsidRPr="00883FAF">
        <w:rPr>
          <w:rFonts w:cs="Arial"/>
          <w:sz w:val="27"/>
          <w:szCs w:val="27"/>
          <w:lang w:val="es-ES"/>
        </w:rPr>
        <w:t>ó</w:t>
      </w:r>
      <w:r w:rsidR="00D07E5C" w:rsidRPr="00883FAF">
        <w:rPr>
          <w:rFonts w:cs="Arial"/>
          <w:sz w:val="27"/>
          <w:szCs w:val="27"/>
          <w:lang w:val="es-ES"/>
        </w:rPr>
        <w:t xml:space="preserve"> temas similares a los aquí propuestos</w:t>
      </w:r>
      <w:r w:rsidR="00B67FBB" w:rsidRPr="00883FAF">
        <w:rPr>
          <w:rFonts w:cs="Arial"/>
          <w:sz w:val="27"/>
          <w:szCs w:val="27"/>
          <w:lang w:val="es-ES"/>
        </w:rPr>
        <w:t xml:space="preserve">, </w:t>
      </w:r>
      <w:r w:rsidR="00D07E5C" w:rsidRPr="00883FAF">
        <w:rPr>
          <w:rFonts w:cs="Arial"/>
          <w:sz w:val="27"/>
          <w:szCs w:val="27"/>
          <w:lang w:val="es-ES"/>
        </w:rPr>
        <w:t xml:space="preserve">resolviendo </w:t>
      </w:r>
      <w:r w:rsidR="00B67FBB" w:rsidRPr="00883FAF">
        <w:rPr>
          <w:rFonts w:cs="Arial"/>
          <w:sz w:val="27"/>
          <w:szCs w:val="27"/>
          <w:lang w:val="es-ES"/>
        </w:rPr>
        <w:t>a la luz d</w:t>
      </w:r>
      <w:r w:rsidR="00D07E5C" w:rsidRPr="00883FAF">
        <w:rPr>
          <w:rFonts w:cs="Arial"/>
          <w:sz w:val="27"/>
          <w:szCs w:val="27"/>
          <w:lang w:val="es-ES"/>
        </w:rPr>
        <w:t>el sistema general aplicable</w:t>
      </w:r>
      <w:r w:rsidR="003841AA" w:rsidRPr="00883FAF">
        <w:rPr>
          <w:rFonts w:cs="Arial"/>
          <w:sz w:val="27"/>
          <w:szCs w:val="27"/>
          <w:lang w:val="es-ES"/>
        </w:rPr>
        <w:t xml:space="preserve"> </w:t>
      </w:r>
      <w:r w:rsidR="00B67FBB" w:rsidRPr="00883FAF">
        <w:rPr>
          <w:rFonts w:cs="Arial"/>
          <w:sz w:val="27"/>
          <w:szCs w:val="27"/>
          <w:lang w:val="es-ES"/>
        </w:rPr>
        <w:t xml:space="preserve">en </w:t>
      </w:r>
      <w:r w:rsidR="003841AA" w:rsidRPr="00883FAF">
        <w:rPr>
          <w:rFonts w:cs="Arial"/>
          <w:sz w:val="27"/>
          <w:szCs w:val="27"/>
          <w:lang w:val="es-ES"/>
        </w:rPr>
        <w:t>materia de protección de datos personales,</w:t>
      </w:r>
      <w:r w:rsidR="00B67FBB" w:rsidRPr="00883FAF">
        <w:rPr>
          <w:rFonts w:cs="Arial"/>
          <w:sz w:val="27"/>
          <w:szCs w:val="27"/>
          <w:lang w:val="es-ES"/>
        </w:rPr>
        <w:t xml:space="preserve"> sin que se aludiera al tema </w:t>
      </w:r>
      <w:r w:rsidR="00C44E29" w:rsidRPr="00883FAF">
        <w:rPr>
          <w:rFonts w:cs="Arial"/>
          <w:sz w:val="27"/>
          <w:szCs w:val="27"/>
          <w:lang w:val="es-ES"/>
        </w:rPr>
        <w:t xml:space="preserve">de </w:t>
      </w:r>
      <w:r w:rsidR="00B67FBB" w:rsidRPr="00883FAF">
        <w:rPr>
          <w:rFonts w:cs="Arial"/>
          <w:sz w:val="27"/>
          <w:szCs w:val="27"/>
          <w:lang w:val="es-ES"/>
        </w:rPr>
        <w:t>competencia</w:t>
      </w:r>
      <w:r w:rsidR="003841AA" w:rsidRPr="00883FAF">
        <w:rPr>
          <w:rFonts w:cs="Arial"/>
          <w:sz w:val="27"/>
          <w:szCs w:val="27"/>
          <w:lang w:val="es-ES"/>
        </w:rPr>
        <w:t>, pues como se ha establecido en múltiples precedentes</w:t>
      </w:r>
      <w:r w:rsidR="008868EB" w:rsidRPr="00883FAF">
        <w:rPr>
          <w:rFonts w:cs="Arial"/>
          <w:sz w:val="27"/>
          <w:szCs w:val="27"/>
          <w:lang w:val="es-ES"/>
        </w:rPr>
        <w:t>,</w:t>
      </w:r>
      <w:r w:rsidR="003841AA" w:rsidRPr="00883FAF">
        <w:rPr>
          <w:rFonts w:cs="Arial"/>
          <w:sz w:val="27"/>
          <w:szCs w:val="27"/>
          <w:lang w:val="es-ES"/>
        </w:rPr>
        <w:t xml:space="preserve"> tanto </w:t>
      </w:r>
      <w:r w:rsidR="00B67FBB" w:rsidRPr="00883FAF">
        <w:rPr>
          <w:rFonts w:cs="Arial"/>
          <w:sz w:val="27"/>
          <w:szCs w:val="27"/>
          <w:lang w:val="es-ES"/>
        </w:rPr>
        <w:t xml:space="preserve">en dicha </w:t>
      </w:r>
      <w:r w:rsidR="003841AA" w:rsidRPr="00883FAF">
        <w:rPr>
          <w:rFonts w:cs="Arial"/>
          <w:sz w:val="27"/>
          <w:szCs w:val="27"/>
          <w:lang w:val="es-ES"/>
        </w:rPr>
        <w:t xml:space="preserve">materia como </w:t>
      </w:r>
      <w:r w:rsidR="00B67FBB" w:rsidRPr="00883FAF">
        <w:rPr>
          <w:rFonts w:cs="Arial"/>
          <w:sz w:val="27"/>
          <w:szCs w:val="27"/>
          <w:lang w:val="es-ES"/>
        </w:rPr>
        <w:t xml:space="preserve">en </w:t>
      </w:r>
      <w:r w:rsidR="003841AA" w:rsidRPr="00883FAF">
        <w:rPr>
          <w:rFonts w:cs="Arial"/>
          <w:sz w:val="27"/>
          <w:szCs w:val="27"/>
          <w:lang w:val="es-ES"/>
        </w:rPr>
        <w:t>la de transparencia y acceso a la información pública, existe concurrencia de facultades entre la Federación y las entidades federativas</w:t>
      </w:r>
      <w:r w:rsidR="00B67FBB" w:rsidRPr="00883FAF">
        <w:rPr>
          <w:rFonts w:cs="Arial"/>
          <w:sz w:val="27"/>
          <w:szCs w:val="27"/>
          <w:lang w:val="es-ES"/>
        </w:rPr>
        <w:t xml:space="preserve">, de modo que considero no debe atribuirse tal vicio a los preceptos controvertidos. </w:t>
      </w:r>
    </w:p>
    <w:p w:rsidR="00B67FBB" w:rsidRPr="00883FAF" w:rsidRDefault="00B67FBB" w:rsidP="00B67FBB">
      <w:pPr>
        <w:pStyle w:val="corte4fondo"/>
        <w:rPr>
          <w:rFonts w:cs="Arial"/>
          <w:sz w:val="27"/>
          <w:szCs w:val="27"/>
          <w:lang w:val="es-ES"/>
        </w:rPr>
      </w:pPr>
    </w:p>
    <w:p w:rsidR="00B67FBB" w:rsidRPr="00883FAF" w:rsidRDefault="00B67FBB" w:rsidP="00B67FBB">
      <w:pPr>
        <w:pStyle w:val="corte4fondo"/>
        <w:rPr>
          <w:rFonts w:cs="Arial"/>
          <w:sz w:val="27"/>
          <w:szCs w:val="27"/>
          <w:lang w:eastAsia="x-none"/>
        </w:rPr>
      </w:pPr>
      <w:r w:rsidRPr="00883FAF">
        <w:rPr>
          <w:rFonts w:cs="Arial"/>
          <w:sz w:val="27"/>
          <w:szCs w:val="27"/>
          <w:lang w:eastAsia="x-none"/>
        </w:rPr>
        <w:t>No obstante lo anterior, concuerdo</w:t>
      </w:r>
      <w:r w:rsidR="00EE1324" w:rsidRPr="00883FAF">
        <w:rPr>
          <w:rFonts w:cs="Arial"/>
          <w:sz w:val="27"/>
          <w:szCs w:val="27"/>
          <w:lang w:eastAsia="x-none"/>
        </w:rPr>
        <w:t xml:space="preserve"> con la declaratoria de invalidez pero </w:t>
      </w:r>
      <w:r w:rsidRPr="00883FAF">
        <w:rPr>
          <w:rFonts w:cs="Arial"/>
          <w:sz w:val="27"/>
          <w:szCs w:val="27"/>
          <w:lang w:eastAsia="x-none"/>
        </w:rPr>
        <w:t xml:space="preserve">por razones diversas, </w:t>
      </w:r>
      <w:r w:rsidR="00C44E29" w:rsidRPr="00883FAF">
        <w:rPr>
          <w:rFonts w:cs="Arial"/>
          <w:sz w:val="27"/>
          <w:szCs w:val="27"/>
          <w:lang w:eastAsia="x-none"/>
        </w:rPr>
        <w:t xml:space="preserve">es decir, </w:t>
      </w:r>
      <w:r w:rsidRPr="00883FAF">
        <w:rPr>
          <w:rFonts w:cs="Arial"/>
          <w:sz w:val="27"/>
          <w:szCs w:val="27"/>
          <w:lang w:eastAsia="x-none"/>
        </w:rPr>
        <w:t xml:space="preserve">porque estimo que, contrario a lo afirmado en la ejecutoria, </w:t>
      </w:r>
      <w:r w:rsidR="00EE1324" w:rsidRPr="00883FAF">
        <w:rPr>
          <w:rFonts w:cs="Arial"/>
          <w:sz w:val="27"/>
          <w:szCs w:val="27"/>
          <w:lang w:eastAsia="x-none"/>
        </w:rPr>
        <w:t>la ley general y la local confrontadas no regulan aspectos</w:t>
      </w:r>
      <w:r w:rsidR="008868EB" w:rsidRPr="00883FAF">
        <w:rPr>
          <w:rFonts w:cs="Arial"/>
          <w:sz w:val="27"/>
          <w:szCs w:val="27"/>
          <w:lang w:eastAsia="x-none"/>
        </w:rPr>
        <w:t xml:space="preserve"> idénticos</w:t>
      </w:r>
      <w:r w:rsidR="00EE1324" w:rsidRPr="00883FAF">
        <w:rPr>
          <w:rFonts w:cs="Arial"/>
          <w:sz w:val="27"/>
          <w:szCs w:val="27"/>
          <w:lang w:eastAsia="x-none"/>
        </w:rPr>
        <w:t>.</w:t>
      </w:r>
    </w:p>
    <w:p w:rsidR="008868EB" w:rsidRPr="00883FAF" w:rsidRDefault="008868EB" w:rsidP="00B67FBB">
      <w:pPr>
        <w:pStyle w:val="corte4fondo"/>
        <w:rPr>
          <w:rFonts w:cs="Arial"/>
          <w:sz w:val="27"/>
          <w:szCs w:val="27"/>
          <w:lang w:eastAsia="x-none"/>
        </w:rPr>
      </w:pPr>
    </w:p>
    <w:p w:rsidR="00B67FBB" w:rsidRPr="00883FAF" w:rsidRDefault="00B67FBB" w:rsidP="00B67FBB">
      <w:pPr>
        <w:pStyle w:val="corte4fondo"/>
        <w:rPr>
          <w:rFonts w:cs="Arial"/>
          <w:sz w:val="27"/>
          <w:szCs w:val="27"/>
          <w:lang w:eastAsia="x-none"/>
        </w:rPr>
      </w:pPr>
      <w:r w:rsidRPr="00883FAF">
        <w:rPr>
          <w:rFonts w:cs="Arial"/>
          <w:sz w:val="27"/>
          <w:szCs w:val="27"/>
          <w:lang w:eastAsia="x-none"/>
        </w:rPr>
        <w:lastRenderedPageBreak/>
        <w:t>En efecto, e</w:t>
      </w:r>
      <w:r w:rsidR="00EE1324" w:rsidRPr="00883FAF">
        <w:rPr>
          <w:rFonts w:cs="Arial"/>
          <w:sz w:val="27"/>
          <w:szCs w:val="27"/>
          <w:lang w:eastAsia="x-none"/>
        </w:rPr>
        <w:t>l artículo 53</w:t>
      </w:r>
      <w:r w:rsidR="00631C5A">
        <w:rPr>
          <w:rStyle w:val="Refdenotaalpie"/>
          <w:rFonts w:cs="Arial"/>
          <w:sz w:val="27"/>
          <w:szCs w:val="27"/>
          <w:lang w:eastAsia="x-none"/>
        </w:rPr>
        <w:footnoteReference w:id="1"/>
      </w:r>
      <w:r w:rsidR="00EE1324" w:rsidRPr="00883FAF">
        <w:rPr>
          <w:rFonts w:cs="Arial"/>
          <w:sz w:val="27"/>
          <w:szCs w:val="27"/>
          <w:lang w:eastAsia="x-none"/>
        </w:rPr>
        <w:t xml:space="preserve"> de la ley general trata un aspecto de incompetencia genérico, mientras que </w:t>
      </w:r>
      <w:r w:rsidR="008868EB" w:rsidRPr="00883FAF">
        <w:rPr>
          <w:rFonts w:cs="Arial"/>
          <w:sz w:val="27"/>
          <w:szCs w:val="27"/>
          <w:lang w:eastAsia="x-none"/>
        </w:rPr>
        <w:t>el diverso 81</w:t>
      </w:r>
      <w:r w:rsidR="00631C5A">
        <w:rPr>
          <w:rStyle w:val="Refdenotaalpie"/>
          <w:rFonts w:cs="Arial"/>
          <w:sz w:val="27"/>
          <w:szCs w:val="27"/>
          <w:lang w:eastAsia="x-none"/>
        </w:rPr>
        <w:footnoteReference w:id="2"/>
      </w:r>
      <w:r w:rsidR="008868EB" w:rsidRPr="00883FAF">
        <w:rPr>
          <w:rFonts w:cs="Arial"/>
          <w:sz w:val="27"/>
          <w:szCs w:val="27"/>
          <w:lang w:eastAsia="x-none"/>
        </w:rPr>
        <w:t xml:space="preserve"> de </w:t>
      </w:r>
      <w:r w:rsidR="00EE1324" w:rsidRPr="00883FAF">
        <w:rPr>
          <w:rFonts w:cs="Arial"/>
          <w:sz w:val="27"/>
          <w:szCs w:val="27"/>
          <w:lang w:eastAsia="x-none"/>
        </w:rPr>
        <w:t xml:space="preserve">la </w:t>
      </w:r>
      <w:r w:rsidR="004C6D12">
        <w:rPr>
          <w:rFonts w:cs="Arial"/>
          <w:sz w:val="27"/>
          <w:szCs w:val="27"/>
          <w:lang w:eastAsia="x-none"/>
        </w:rPr>
        <w:t xml:space="preserve">ley </w:t>
      </w:r>
      <w:r w:rsidR="00EE1324" w:rsidRPr="00883FAF">
        <w:rPr>
          <w:rFonts w:cs="Arial"/>
          <w:sz w:val="27"/>
          <w:szCs w:val="27"/>
          <w:lang w:eastAsia="x-none"/>
        </w:rPr>
        <w:t xml:space="preserve">local </w:t>
      </w:r>
      <w:r w:rsidR="004C6D12">
        <w:rPr>
          <w:rFonts w:cs="Arial"/>
          <w:sz w:val="27"/>
          <w:szCs w:val="27"/>
          <w:lang w:eastAsia="x-none"/>
        </w:rPr>
        <w:t xml:space="preserve">hace referencia a la </w:t>
      </w:r>
      <w:r w:rsidR="00EE1324" w:rsidRPr="00883FAF">
        <w:rPr>
          <w:rFonts w:cs="Arial"/>
          <w:sz w:val="27"/>
          <w:szCs w:val="27"/>
          <w:lang w:eastAsia="x-none"/>
        </w:rPr>
        <w:t xml:space="preserve">incompetencia por materia. </w:t>
      </w:r>
      <w:r w:rsidR="00705BBD" w:rsidRPr="00883FAF">
        <w:rPr>
          <w:rFonts w:cs="Arial"/>
          <w:sz w:val="27"/>
          <w:szCs w:val="27"/>
          <w:lang w:eastAsia="x-none"/>
        </w:rPr>
        <w:t>E</w:t>
      </w:r>
      <w:r w:rsidR="00EE1324" w:rsidRPr="00883FAF">
        <w:rPr>
          <w:rFonts w:cs="Arial"/>
          <w:sz w:val="27"/>
          <w:szCs w:val="27"/>
          <w:lang w:eastAsia="x-none"/>
        </w:rPr>
        <w:t>n</w:t>
      </w:r>
      <w:r w:rsidR="00705BBD">
        <w:rPr>
          <w:rFonts w:cs="Arial"/>
          <w:sz w:val="27"/>
          <w:szCs w:val="27"/>
          <w:lang w:eastAsia="x-none"/>
        </w:rPr>
        <w:t xml:space="preserve"> </w:t>
      </w:r>
      <w:r w:rsidR="00EE1324" w:rsidRPr="00883FAF">
        <w:rPr>
          <w:rFonts w:cs="Arial"/>
          <w:sz w:val="27"/>
          <w:szCs w:val="27"/>
          <w:lang w:eastAsia="x-none"/>
        </w:rPr>
        <w:t xml:space="preserve">ambos casos </w:t>
      </w:r>
      <w:r w:rsidR="00705BBD">
        <w:rPr>
          <w:rFonts w:cs="Arial"/>
          <w:sz w:val="27"/>
          <w:szCs w:val="27"/>
          <w:lang w:eastAsia="x-none"/>
        </w:rPr>
        <w:t xml:space="preserve">debe ser </w:t>
      </w:r>
      <w:r w:rsidR="00EE1324" w:rsidRPr="00883FAF">
        <w:rPr>
          <w:rFonts w:cs="Arial"/>
          <w:sz w:val="27"/>
          <w:szCs w:val="27"/>
          <w:lang w:eastAsia="x-none"/>
        </w:rPr>
        <w:t xml:space="preserve">aplicable el plazo de </w:t>
      </w:r>
      <w:r w:rsidRPr="00883FAF">
        <w:rPr>
          <w:rFonts w:cs="Arial"/>
          <w:sz w:val="27"/>
          <w:szCs w:val="27"/>
          <w:lang w:eastAsia="x-none"/>
        </w:rPr>
        <w:t xml:space="preserve">tres </w:t>
      </w:r>
      <w:r w:rsidR="00EE1324" w:rsidRPr="00883FAF">
        <w:rPr>
          <w:rFonts w:cs="Arial"/>
          <w:sz w:val="27"/>
          <w:szCs w:val="27"/>
          <w:lang w:eastAsia="x-none"/>
        </w:rPr>
        <w:t xml:space="preserve">días </w:t>
      </w:r>
      <w:r w:rsidR="008868EB" w:rsidRPr="00883FAF">
        <w:rPr>
          <w:rFonts w:cs="Arial"/>
          <w:sz w:val="27"/>
          <w:szCs w:val="27"/>
          <w:lang w:eastAsia="x-none"/>
        </w:rPr>
        <w:t xml:space="preserve">para que el responsable incompetente </w:t>
      </w:r>
      <w:r w:rsidR="008868EB" w:rsidRPr="00883FAF">
        <w:rPr>
          <w:sz w:val="27"/>
          <w:szCs w:val="27"/>
        </w:rPr>
        <w:t>comunique al titular de datos personales esa situación</w:t>
      </w:r>
      <w:r w:rsidR="00705BBD">
        <w:rPr>
          <w:sz w:val="27"/>
          <w:szCs w:val="27"/>
        </w:rPr>
        <w:t xml:space="preserve">. No obstante, la </w:t>
      </w:r>
      <w:r w:rsidR="007F1D37">
        <w:rPr>
          <w:rFonts w:cs="Arial"/>
          <w:sz w:val="27"/>
          <w:szCs w:val="27"/>
          <w:lang w:eastAsia="x-none"/>
        </w:rPr>
        <w:t xml:space="preserve">ley </w:t>
      </w:r>
      <w:r w:rsidR="00EE1324" w:rsidRPr="00883FAF">
        <w:rPr>
          <w:rFonts w:cs="Arial"/>
          <w:sz w:val="27"/>
          <w:szCs w:val="27"/>
          <w:lang w:eastAsia="x-none"/>
        </w:rPr>
        <w:t xml:space="preserve">local </w:t>
      </w:r>
      <w:r w:rsidR="00705BBD">
        <w:rPr>
          <w:rFonts w:cs="Arial"/>
          <w:sz w:val="27"/>
          <w:szCs w:val="27"/>
          <w:lang w:eastAsia="x-none"/>
        </w:rPr>
        <w:t xml:space="preserve">amplía ese lapso de tres </w:t>
      </w:r>
      <w:r w:rsidR="00EE1324" w:rsidRPr="00883FAF">
        <w:rPr>
          <w:rFonts w:cs="Arial"/>
          <w:sz w:val="27"/>
          <w:szCs w:val="27"/>
          <w:lang w:eastAsia="x-none"/>
        </w:rPr>
        <w:t xml:space="preserve">a </w:t>
      </w:r>
      <w:r w:rsidRPr="00883FAF">
        <w:rPr>
          <w:rFonts w:cs="Arial"/>
          <w:sz w:val="27"/>
          <w:szCs w:val="27"/>
          <w:lang w:eastAsia="x-none"/>
        </w:rPr>
        <w:t>cinco</w:t>
      </w:r>
      <w:r w:rsidR="004C6D12">
        <w:rPr>
          <w:rFonts w:cs="Arial"/>
          <w:sz w:val="27"/>
          <w:szCs w:val="27"/>
          <w:lang w:eastAsia="x-none"/>
        </w:rPr>
        <w:t xml:space="preserve"> días</w:t>
      </w:r>
      <w:r w:rsidRPr="00883FAF">
        <w:rPr>
          <w:rFonts w:cs="Arial"/>
          <w:sz w:val="27"/>
          <w:szCs w:val="27"/>
          <w:lang w:eastAsia="x-none"/>
        </w:rPr>
        <w:t xml:space="preserve"> </w:t>
      </w:r>
      <w:r w:rsidR="00EE1324" w:rsidRPr="00883FAF">
        <w:rPr>
          <w:rFonts w:cs="Arial"/>
          <w:sz w:val="27"/>
          <w:szCs w:val="27"/>
          <w:lang w:eastAsia="x-none"/>
        </w:rPr>
        <w:t>y</w:t>
      </w:r>
      <w:r w:rsidR="004C6D12">
        <w:rPr>
          <w:rFonts w:cs="Arial"/>
          <w:sz w:val="27"/>
          <w:szCs w:val="27"/>
          <w:lang w:eastAsia="x-none"/>
        </w:rPr>
        <w:t>,</w:t>
      </w:r>
      <w:r w:rsidR="00EE1324" w:rsidRPr="00883FAF">
        <w:rPr>
          <w:rFonts w:cs="Arial"/>
          <w:sz w:val="27"/>
          <w:szCs w:val="27"/>
          <w:lang w:eastAsia="x-none"/>
        </w:rPr>
        <w:t xml:space="preserve"> como es</w:t>
      </w:r>
      <w:r w:rsidRPr="00883FAF">
        <w:rPr>
          <w:rFonts w:cs="Arial"/>
          <w:sz w:val="27"/>
          <w:szCs w:val="27"/>
          <w:lang w:eastAsia="x-none"/>
        </w:rPr>
        <w:t xml:space="preserve">e plazo corre </w:t>
      </w:r>
      <w:r w:rsidR="00EE1324" w:rsidRPr="00883FAF">
        <w:rPr>
          <w:rFonts w:cs="Arial"/>
          <w:sz w:val="27"/>
          <w:szCs w:val="27"/>
          <w:lang w:eastAsia="x-none"/>
        </w:rPr>
        <w:t xml:space="preserve">en perjuicio de los titulares de datos personales, entonces </w:t>
      </w:r>
      <w:r w:rsidRPr="00883FAF">
        <w:rPr>
          <w:rFonts w:cs="Arial"/>
          <w:sz w:val="27"/>
          <w:szCs w:val="27"/>
          <w:lang w:eastAsia="x-none"/>
        </w:rPr>
        <w:t xml:space="preserve">es </w:t>
      </w:r>
      <w:r w:rsidR="00EE1324" w:rsidRPr="00883FAF">
        <w:rPr>
          <w:rFonts w:cs="Arial"/>
          <w:sz w:val="27"/>
          <w:szCs w:val="27"/>
          <w:lang w:eastAsia="x-none"/>
        </w:rPr>
        <w:t>correcto invalidar dicha porción normativa.</w:t>
      </w:r>
    </w:p>
    <w:p w:rsidR="00B67FBB" w:rsidRPr="00883FAF" w:rsidRDefault="00B67FBB" w:rsidP="00B67FBB">
      <w:pPr>
        <w:pStyle w:val="corte4fondo"/>
        <w:rPr>
          <w:rFonts w:cs="Arial"/>
          <w:sz w:val="27"/>
          <w:szCs w:val="27"/>
          <w:lang w:eastAsia="x-none"/>
        </w:rPr>
      </w:pPr>
    </w:p>
    <w:p w:rsidR="00B67FBB" w:rsidRPr="00883FAF" w:rsidRDefault="00EE1324" w:rsidP="00B67FBB">
      <w:pPr>
        <w:pStyle w:val="corte4fondo"/>
        <w:rPr>
          <w:rFonts w:cs="Arial"/>
          <w:sz w:val="27"/>
          <w:szCs w:val="27"/>
          <w:lang w:eastAsia="x-none"/>
        </w:rPr>
      </w:pPr>
      <w:r w:rsidRPr="00883FAF">
        <w:rPr>
          <w:rFonts w:cs="Arial"/>
          <w:sz w:val="27"/>
          <w:szCs w:val="27"/>
          <w:lang w:eastAsia="x-none"/>
        </w:rPr>
        <w:t xml:space="preserve">Igual sucede con el último párrafo del </w:t>
      </w:r>
      <w:r w:rsidR="008868EB" w:rsidRPr="00883FAF">
        <w:rPr>
          <w:rFonts w:cs="Arial"/>
          <w:sz w:val="27"/>
          <w:szCs w:val="27"/>
          <w:lang w:eastAsia="x-none"/>
        </w:rPr>
        <w:t xml:space="preserve">mencionado </w:t>
      </w:r>
      <w:r w:rsidRPr="00883FAF">
        <w:rPr>
          <w:rFonts w:cs="Arial"/>
          <w:sz w:val="27"/>
          <w:szCs w:val="27"/>
          <w:lang w:eastAsia="x-none"/>
        </w:rPr>
        <w:t xml:space="preserve">artículo 81 impugnado, pues aun cuando la ley general prevé un supuesto genérico </w:t>
      </w:r>
      <w:r w:rsidR="008868EB" w:rsidRPr="00883FAF">
        <w:rPr>
          <w:rFonts w:cs="Arial"/>
          <w:sz w:val="27"/>
          <w:szCs w:val="27"/>
          <w:lang w:eastAsia="x-none"/>
        </w:rPr>
        <w:t xml:space="preserve">consistente en reconducir la vía en los casos en que </w:t>
      </w:r>
      <w:r w:rsidRPr="00883FAF">
        <w:rPr>
          <w:rFonts w:cs="Arial"/>
          <w:sz w:val="27"/>
          <w:szCs w:val="27"/>
          <w:lang w:eastAsia="x-none"/>
        </w:rPr>
        <w:t>la solicitud para el ejercicio de los derechos ARCO</w:t>
      </w:r>
      <w:r w:rsidR="007F1D37">
        <w:rPr>
          <w:rFonts w:cs="Arial"/>
          <w:sz w:val="27"/>
          <w:szCs w:val="27"/>
          <w:lang w:eastAsia="x-none"/>
        </w:rPr>
        <w:t xml:space="preserve"> </w:t>
      </w:r>
      <w:r w:rsidR="007F1D37" w:rsidRPr="00883FAF">
        <w:rPr>
          <w:rFonts w:cs="Arial"/>
          <w:sz w:val="27"/>
          <w:szCs w:val="27"/>
          <w:lang w:eastAsia="x-none"/>
        </w:rPr>
        <w:t>(</w:t>
      </w:r>
      <w:r w:rsidR="007F1D37" w:rsidRPr="00883FAF">
        <w:rPr>
          <w:sz w:val="27"/>
          <w:szCs w:val="27"/>
        </w:rPr>
        <w:t>acceso, rectificación, cancelación y oposición)</w:t>
      </w:r>
      <w:r w:rsidR="00B67FBB" w:rsidRPr="00883FAF">
        <w:rPr>
          <w:sz w:val="27"/>
          <w:szCs w:val="27"/>
        </w:rPr>
        <w:t xml:space="preserve"> corresponda a otro derecho, sin especificar cuál, </w:t>
      </w:r>
      <w:r w:rsidR="008868EB" w:rsidRPr="00883FAF">
        <w:rPr>
          <w:sz w:val="27"/>
          <w:szCs w:val="27"/>
        </w:rPr>
        <w:t xml:space="preserve">siendo que la </w:t>
      </w:r>
      <w:r w:rsidRPr="00883FAF">
        <w:rPr>
          <w:rFonts w:cs="Arial"/>
          <w:sz w:val="27"/>
          <w:szCs w:val="27"/>
          <w:lang w:eastAsia="x-none"/>
        </w:rPr>
        <w:t>ley local lo limita a</w:t>
      </w:r>
      <w:r w:rsidR="00B67FBB" w:rsidRPr="00883FAF">
        <w:rPr>
          <w:rFonts w:cs="Arial"/>
          <w:sz w:val="27"/>
          <w:szCs w:val="27"/>
          <w:lang w:eastAsia="x-none"/>
        </w:rPr>
        <w:t xml:space="preserve"> </w:t>
      </w:r>
      <w:r w:rsidRPr="00883FAF">
        <w:rPr>
          <w:rFonts w:cs="Arial"/>
          <w:sz w:val="27"/>
          <w:szCs w:val="27"/>
          <w:lang w:eastAsia="x-none"/>
        </w:rPr>
        <w:t>l</w:t>
      </w:r>
      <w:r w:rsidR="00B67FBB" w:rsidRPr="00883FAF">
        <w:rPr>
          <w:rFonts w:cs="Arial"/>
          <w:sz w:val="27"/>
          <w:szCs w:val="27"/>
          <w:lang w:eastAsia="x-none"/>
        </w:rPr>
        <w:t xml:space="preserve">a hipótesis </w:t>
      </w:r>
      <w:r w:rsidRPr="00883FAF">
        <w:rPr>
          <w:rFonts w:cs="Arial"/>
          <w:sz w:val="27"/>
          <w:szCs w:val="27"/>
          <w:lang w:eastAsia="x-none"/>
        </w:rPr>
        <w:t xml:space="preserve">de que esa solicitud se refiera a derechos ARCO y </w:t>
      </w:r>
      <w:r w:rsidR="00B67FBB" w:rsidRPr="00883FAF">
        <w:rPr>
          <w:rFonts w:cs="Arial"/>
          <w:sz w:val="27"/>
          <w:szCs w:val="27"/>
          <w:lang w:eastAsia="x-none"/>
        </w:rPr>
        <w:t>a</w:t>
      </w:r>
      <w:r w:rsidR="002D545E">
        <w:rPr>
          <w:rFonts w:cs="Arial"/>
          <w:sz w:val="27"/>
          <w:szCs w:val="27"/>
          <w:lang w:eastAsia="x-none"/>
        </w:rPr>
        <w:t>l</w:t>
      </w:r>
      <w:r w:rsidR="00B67FBB" w:rsidRPr="00883FAF">
        <w:rPr>
          <w:rFonts w:cs="Arial"/>
          <w:sz w:val="27"/>
          <w:szCs w:val="27"/>
          <w:lang w:eastAsia="x-none"/>
        </w:rPr>
        <w:t xml:space="preserve"> </w:t>
      </w:r>
      <w:r w:rsidR="008868EB" w:rsidRPr="00883FAF">
        <w:rPr>
          <w:rFonts w:cs="Arial"/>
          <w:sz w:val="27"/>
          <w:szCs w:val="27"/>
          <w:lang w:eastAsia="x-none"/>
        </w:rPr>
        <w:t>acceso a la información, lo objetivamente cierto es que la</w:t>
      </w:r>
      <w:r w:rsidR="00B67FBB" w:rsidRPr="00883FAF">
        <w:rPr>
          <w:rFonts w:cs="Arial"/>
          <w:sz w:val="27"/>
          <w:szCs w:val="27"/>
          <w:lang w:eastAsia="x-none"/>
        </w:rPr>
        <w:t xml:space="preserve"> inconstitucionalidad de</w:t>
      </w:r>
      <w:r w:rsidR="008868EB" w:rsidRPr="00883FAF">
        <w:rPr>
          <w:rFonts w:cs="Arial"/>
          <w:sz w:val="27"/>
          <w:szCs w:val="27"/>
          <w:lang w:eastAsia="x-none"/>
        </w:rPr>
        <w:t xml:space="preserve"> tal porción normativa </w:t>
      </w:r>
      <w:r w:rsidR="00B67FBB" w:rsidRPr="00883FAF">
        <w:rPr>
          <w:rFonts w:cs="Arial"/>
          <w:sz w:val="27"/>
          <w:szCs w:val="27"/>
          <w:lang w:eastAsia="x-none"/>
        </w:rPr>
        <w:t xml:space="preserve">estriba en que </w:t>
      </w:r>
      <w:r w:rsidRPr="00883FAF">
        <w:rPr>
          <w:rFonts w:cs="Arial"/>
          <w:sz w:val="27"/>
          <w:szCs w:val="27"/>
          <w:lang w:eastAsia="x-none"/>
        </w:rPr>
        <w:t>la ley local sólo obliga al responsable a orientar al titular sobre la forma en que puede ejercer tal prerrogativa, siendo que la ley general</w:t>
      </w:r>
      <w:r w:rsidR="008868EB" w:rsidRPr="00883FAF">
        <w:rPr>
          <w:rFonts w:cs="Arial"/>
          <w:sz w:val="27"/>
          <w:szCs w:val="27"/>
          <w:lang w:eastAsia="x-none"/>
        </w:rPr>
        <w:t>, como se dijo,</w:t>
      </w:r>
      <w:r w:rsidRPr="00883FAF">
        <w:rPr>
          <w:rFonts w:cs="Arial"/>
          <w:sz w:val="27"/>
          <w:szCs w:val="27"/>
          <w:lang w:eastAsia="x-none"/>
        </w:rPr>
        <w:t xml:space="preserve"> lo vincula a reconducir la vía y a informarlo al titular.</w:t>
      </w:r>
    </w:p>
    <w:p w:rsidR="00B67FBB" w:rsidRPr="00883FAF" w:rsidRDefault="00B67FBB" w:rsidP="00B67FBB">
      <w:pPr>
        <w:pStyle w:val="corte4fondo"/>
        <w:rPr>
          <w:rFonts w:cs="Arial"/>
          <w:sz w:val="27"/>
          <w:szCs w:val="27"/>
          <w:lang w:eastAsia="x-none"/>
        </w:rPr>
      </w:pPr>
    </w:p>
    <w:p w:rsidR="00EE1324" w:rsidRPr="00883FAF" w:rsidRDefault="00883FAF" w:rsidP="00EE1324">
      <w:pPr>
        <w:pStyle w:val="corte4fondo"/>
        <w:rPr>
          <w:sz w:val="27"/>
          <w:szCs w:val="27"/>
        </w:rPr>
      </w:pPr>
      <w:r w:rsidRPr="00883FAF">
        <w:rPr>
          <w:sz w:val="27"/>
          <w:szCs w:val="27"/>
        </w:rPr>
        <w:lastRenderedPageBreak/>
        <w:t>En atención a lo expuesto</w:t>
      </w:r>
      <w:r w:rsidR="00EE1324" w:rsidRPr="00883FAF">
        <w:rPr>
          <w:sz w:val="27"/>
          <w:szCs w:val="27"/>
        </w:rPr>
        <w:t>, comparto la conclusión a la que arriba la ejecutoria, pero por razones diversas.</w:t>
      </w:r>
    </w:p>
    <w:p w:rsidR="00EE1324" w:rsidRPr="003127F9" w:rsidRDefault="00EE1324" w:rsidP="00EE1324">
      <w:pPr>
        <w:ind w:left="360"/>
        <w:jc w:val="center"/>
        <w:rPr>
          <w:rFonts w:ascii="Arial" w:hAnsi="Arial" w:cs="Arial"/>
          <w:b/>
          <w:sz w:val="28"/>
          <w:szCs w:val="28"/>
          <w:lang w:val="pt-BR"/>
        </w:rPr>
      </w:pPr>
    </w:p>
    <w:p w:rsidR="00EE1324" w:rsidRPr="003127F9" w:rsidRDefault="00EE1324" w:rsidP="00EE1324">
      <w:pPr>
        <w:ind w:left="360"/>
        <w:jc w:val="center"/>
        <w:rPr>
          <w:rFonts w:ascii="Arial" w:hAnsi="Arial" w:cs="Arial"/>
          <w:b/>
          <w:sz w:val="28"/>
          <w:szCs w:val="28"/>
          <w:lang w:val="pt-BR"/>
        </w:rPr>
      </w:pPr>
    </w:p>
    <w:p w:rsidR="00EE1324" w:rsidRPr="003127F9" w:rsidRDefault="00EE1324" w:rsidP="00EE1324">
      <w:pPr>
        <w:ind w:left="360"/>
        <w:jc w:val="center"/>
        <w:rPr>
          <w:rFonts w:ascii="Arial" w:hAnsi="Arial" w:cs="Arial"/>
          <w:b/>
          <w:sz w:val="28"/>
          <w:szCs w:val="28"/>
          <w:lang w:val="pt-BR"/>
        </w:rPr>
      </w:pPr>
    </w:p>
    <w:p w:rsidR="00EE1324" w:rsidRPr="003127F9" w:rsidRDefault="00EE1324" w:rsidP="00EE1324">
      <w:pPr>
        <w:ind w:left="360"/>
        <w:jc w:val="center"/>
        <w:rPr>
          <w:rFonts w:ascii="Arial" w:hAnsi="Arial" w:cs="Arial"/>
          <w:sz w:val="28"/>
          <w:szCs w:val="28"/>
        </w:rPr>
      </w:pPr>
      <w:r w:rsidRPr="003127F9">
        <w:rPr>
          <w:rFonts w:ascii="Arial" w:hAnsi="Arial" w:cs="Arial"/>
          <w:b/>
          <w:sz w:val="28"/>
          <w:szCs w:val="28"/>
          <w:lang w:val="pt-BR"/>
        </w:rPr>
        <w:t>MINISTRO JAVIER LAYNEZ POTISEK</w:t>
      </w:r>
    </w:p>
    <w:p w:rsidR="00EE1324" w:rsidRPr="00FF121D" w:rsidRDefault="00EE1324" w:rsidP="00EE1324">
      <w:pPr>
        <w:rPr>
          <w:sz w:val="24"/>
          <w:szCs w:val="24"/>
        </w:rPr>
      </w:pPr>
      <w:r w:rsidRPr="00FF121D">
        <w:rPr>
          <w:rFonts w:ascii="Arial" w:hAnsi="Arial" w:cs="Arial"/>
          <w:sz w:val="24"/>
          <w:szCs w:val="24"/>
        </w:rPr>
        <w:t>GFQ</w:t>
      </w:r>
    </w:p>
    <w:p w:rsidR="009A64B4" w:rsidRDefault="009A64B4"/>
    <w:sectPr w:rsidR="009A64B4" w:rsidSect="00E80782">
      <w:headerReference w:type="even" r:id="rId8"/>
      <w:headerReference w:type="default" r:id="rId9"/>
      <w:footerReference w:type="even" r:id="rId10"/>
      <w:footerReference w:type="default" r:id="rId11"/>
      <w:headerReference w:type="first" r:id="rId12"/>
      <w:footerReference w:type="first" r:id="rId13"/>
      <w:pgSz w:w="12242" w:h="19301" w:code="10000"/>
      <w:pgMar w:top="1417" w:right="1701" w:bottom="1417" w:left="1701" w:header="1417" w:footer="1417"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B8C" w:rsidRDefault="007B5B8C" w:rsidP="00B67FBB">
      <w:pPr>
        <w:spacing w:after="0" w:line="240" w:lineRule="auto"/>
      </w:pPr>
      <w:r>
        <w:separator/>
      </w:r>
    </w:p>
  </w:endnote>
  <w:endnote w:type="continuationSeparator" w:id="0">
    <w:p w:rsidR="007B5B8C" w:rsidRDefault="007B5B8C" w:rsidP="00B67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9580065"/>
      <w:docPartObj>
        <w:docPartGallery w:val="Page Numbers (Bottom of Page)"/>
        <w:docPartUnique/>
      </w:docPartObj>
    </w:sdtPr>
    <w:sdtEndPr>
      <w:rPr>
        <w:sz w:val="24"/>
      </w:rPr>
    </w:sdtEndPr>
    <w:sdtContent>
      <w:p w:rsidR="00234D77" w:rsidRDefault="00234D77">
        <w:pPr>
          <w:pStyle w:val="Piedepgina"/>
        </w:pPr>
      </w:p>
      <w:p w:rsidR="00C27BA7" w:rsidRPr="00E278F2" w:rsidRDefault="0036235D">
        <w:pPr>
          <w:pStyle w:val="Piedepgina"/>
          <w:rPr>
            <w:sz w:val="24"/>
          </w:rPr>
        </w:pPr>
        <w:r w:rsidRPr="00E278F2">
          <w:rPr>
            <w:sz w:val="24"/>
          </w:rPr>
          <w:fldChar w:fldCharType="begin"/>
        </w:r>
        <w:r w:rsidRPr="00E278F2">
          <w:rPr>
            <w:sz w:val="24"/>
          </w:rPr>
          <w:instrText>PAGE   \* MERGEFORMAT</w:instrText>
        </w:r>
        <w:r w:rsidRPr="00E278F2">
          <w:rPr>
            <w:sz w:val="24"/>
          </w:rPr>
          <w:fldChar w:fldCharType="separate"/>
        </w:r>
        <w:r w:rsidR="00513AE9" w:rsidRPr="00513AE9">
          <w:rPr>
            <w:noProof/>
            <w:sz w:val="24"/>
            <w:lang w:val="es-ES"/>
          </w:rPr>
          <w:t>2</w:t>
        </w:r>
        <w:r w:rsidRPr="00E278F2">
          <w:rPr>
            <w:sz w:val="24"/>
          </w:rPr>
          <w:fldChar w:fldCharType="end"/>
        </w:r>
      </w:p>
    </w:sdtContent>
  </w:sdt>
  <w:p w:rsidR="00C27BA7" w:rsidRDefault="007B5B8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253096"/>
      <w:docPartObj>
        <w:docPartGallery w:val="Page Numbers (Bottom of Page)"/>
        <w:docPartUnique/>
      </w:docPartObj>
    </w:sdtPr>
    <w:sdtEndPr>
      <w:rPr>
        <w:sz w:val="24"/>
      </w:rPr>
    </w:sdtEndPr>
    <w:sdtContent>
      <w:p w:rsidR="00C27BA7" w:rsidRPr="00E278F2" w:rsidRDefault="0036235D" w:rsidP="00C27BA7">
        <w:pPr>
          <w:pStyle w:val="Piedepgina"/>
          <w:jc w:val="right"/>
          <w:rPr>
            <w:sz w:val="24"/>
          </w:rPr>
        </w:pPr>
        <w:r w:rsidRPr="00E278F2">
          <w:rPr>
            <w:sz w:val="24"/>
          </w:rPr>
          <w:fldChar w:fldCharType="begin"/>
        </w:r>
        <w:r w:rsidRPr="00E278F2">
          <w:rPr>
            <w:sz w:val="24"/>
          </w:rPr>
          <w:instrText>PAGE   \* MERGEFORMAT</w:instrText>
        </w:r>
        <w:r w:rsidRPr="00E278F2">
          <w:rPr>
            <w:sz w:val="24"/>
          </w:rPr>
          <w:fldChar w:fldCharType="separate"/>
        </w:r>
        <w:r w:rsidR="00513AE9" w:rsidRPr="00513AE9">
          <w:rPr>
            <w:noProof/>
            <w:sz w:val="24"/>
            <w:lang w:val="es-ES"/>
          </w:rPr>
          <w:t>3</w:t>
        </w:r>
        <w:r w:rsidRPr="00E278F2">
          <w:rPr>
            <w:sz w:val="24"/>
          </w:rPr>
          <w:fldChar w:fldCharType="end"/>
        </w:r>
      </w:p>
    </w:sdtContent>
  </w:sdt>
  <w:p w:rsidR="00C27BA7" w:rsidRDefault="007B5B8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BA7" w:rsidRPr="004F45CC" w:rsidRDefault="007B5B8C">
    <w:pPr>
      <w:pStyle w:val="Piedepgina"/>
      <w:jc w:val="right"/>
      <w:rPr>
        <w:sz w:val="20"/>
        <w:szCs w:val="20"/>
      </w:rPr>
    </w:pPr>
  </w:p>
  <w:p w:rsidR="00C27BA7" w:rsidRDefault="007B5B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B8C" w:rsidRDefault="007B5B8C" w:rsidP="00B67FBB">
      <w:pPr>
        <w:spacing w:after="0" w:line="240" w:lineRule="auto"/>
      </w:pPr>
      <w:r>
        <w:separator/>
      </w:r>
    </w:p>
  </w:footnote>
  <w:footnote w:type="continuationSeparator" w:id="0">
    <w:p w:rsidR="007B5B8C" w:rsidRDefault="007B5B8C" w:rsidP="00B67FBB">
      <w:pPr>
        <w:spacing w:after="0" w:line="240" w:lineRule="auto"/>
      </w:pPr>
      <w:r>
        <w:continuationSeparator/>
      </w:r>
    </w:p>
  </w:footnote>
  <w:footnote w:id="1">
    <w:p w:rsidR="00631C5A" w:rsidRPr="00631C5A" w:rsidRDefault="00631C5A" w:rsidP="00631C5A">
      <w:pPr>
        <w:pStyle w:val="Textonotapie"/>
        <w:jc w:val="both"/>
        <w:rPr>
          <w:rFonts w:ascii="Arial" w:hAnsi="Arial" w:cs="Arial"/>
        </w:rPr>
      </w:pPr>
      <w:r w:rsidRPr="00631C5A">
        <w:rPr>
          <w:rStyle w:val="Refdenotaalpie"/>
          <w:rFonts w:ascii="Arial" w:hAnsi="Arial" w:cs="Arial"/>
        </w:rPr>
        <w:footnoteRef/>
      </w:r>
      <w:r w:rsidRPr="00631C5A">
        <w:rPr>
          <w:rFonts w:ascii="Arial" w:hAnsi="Arial" w:cs="Arial"/>
        </w:rPr>
        <w:t xml:space="preserve"> </w:t>
      </w:r>
      <w:r w:rsidRPr="00E80782">
        <w:rPr>
          <w:rFonts w:ascii="Arial" w:hAnsi="Arial" w:cs="Arial"/>
          <w:b/>
        </w:rPr>
        <w:t>Artículo 53</w:t>
      </w:r>
      <w:r w:rsidRPr="00631C5A">
        <w:rPr>
          <w:rFonts w:ascii="Arial" w:hAnsi="Arial" w:cs="Arial"/>
        </w:rPr>
        <w:t>. 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w:t>
      </w:r>
    </w:p>
    <w:p w:rsidR="00631C5A" w:rsidRPr="00631C5A" w:rsidRDefault="00631C5A" w:rsidP="00631C5A">
      <w:pPr>
        <w:pStyle w:val="Textonotapie"/>
        <w:jc w:val="both"/>
        <w:rPr>
          <w:rFonts w:ascii="Arial" w:hAnsi="Arial" w:cs="Arial"/>
        </w:rPr>
      </w:pPr>
      <w:r w:rsidRPr="00631C5A">
        <w:rPr>
          <w:rFonts w:ascii="Arial" w:hAnsi="Arial" w:cs="Arial"/>
        </w:rPr>
        <w:t>En caso de que el responsable declare inexistencia de los datos personales en sus archivos, registros, sistemas o expediente, dicha declaración deberá constar en una resolución del Comité de Transparencia que confirme la inexistencia de los datos personales.</w:t>
      </w:r>
    </w:p>
    <w:p w:rsidR="00631C5A" w:rsidRDefault="00631C5A" w:rsidP="00631C5A">
      <w:pPr>
        <w:pStyle w:val="Textonotapie"/>
        <w:jc w:val="both"/>
      </w:pPr>
      <w:r w:rsidRPr="00631C5A">
        <w:rPr>
          <w:rFonts w:ascii="Arial" w:hAnsi="Arial" w:cs="Arial"/>
        </w:rPr>
        <w:t>En caso de que el responsable advierta que la solicitud para el ejercicio de los derechos ARCO corresponda a un derecho diferente de los previstos en la presente Ley, deberá reconducir la vía haciéndolo del conocimiento al titular.</w:t>
      </w:r>
    </w:p>
  </w:footnote>
  <w:footnote w:id="2">
    <w:p w:rsidR="00E80782" w:rsidRPr="00E80782" w:rsidRDefault="00631C5A" w:rsidP="00E80782">
      <w:pPr>
        <w:pStyle w:val="Textonotapie"/>
        <w:jc w:val="both"/>
        <w:rPr>
          <w:rFonts w:ascii="Arial" w:hAnsi="Arial" w:cs="Arial"/>
        </w:rPr>
      </w:pPr>
      <w:r w:rsidRPr="00E80782">
        <w:rPr>
          <w:rStyle w:val="Refdenotaalpie"/>
          <w:rFonts w:ascii="Arial" w:hAnsi="Arial" w:cs="Arial"/>
        </w:rPr>
        <w:footnoteRef/>
      </w:r>
      <w:r w:rsidRPr="00E80782">
        <w:rPr>
          <w:rFonts w:ascii="Arial" w:hAnsi="Arial" w:cs="Arial"/>
        </w:rPr>
        <w:t xml:space="preserve"> </w:t>
      </w:r>
      <w:r w:rsidR="00E80782" w:rsidRPr="00E80782">
        <w:rPr>
          <w:rFonts w:ascii="Arial" w:hAnsi="Arial" w:cs="Arial"/>
          <w:b/>
        </w:rPr>
        <w:t>Artículo 81</w:t>
      </w:r>
      <w:r w:rsidR="00E80782" w:rsidRPr="00E80782">
        <w:rPr>
          <w:rFonts w:ascii="Arial" w:hAnsi="Arial" w:cs="Arial"/>
        </w:rPr>
        <w:t xml:space="preserve">. En caso de que la solicitud presentada no corresponda al ejercicio de los derechos ARCO, la Unidad de Transparencia deberá notificarlo dentro del plazo de cinco días al solicitante y, en su caso, orientarlo para que presente una solicitud de acceso a información pública o realice el trámite que corresponda. </w:t>
      </w:r>
    </w:p>
    <w:p w:rsidR="00631C5A" w:rsidRDefault="00E80782" w:rsidP="00E80782">
      <w:pPr>
        <w:pStyle w:val="Textonotapie"/>
        <w:jc w:val="both"/>
      </w:pPr>
      <w:r w:rsidRPr="00E80782">
        <w:rPr>
          <w:rFonts w:ascii="Arial" w:hAnsi="Arial" w:cs="Arial"/>
        </w:rPr>
        <w:t>En caso de que mediante una misma solicitud se pretenda ejercer derechos ARCO y acceder a información pública se atenderá la solicitud conforme a los plazos y términos de la presente Ley. En la respuesta se deberá orientar al titular sobre la forma en la que podrá ejercer su derecho a la información pública por lo que respecta a los contenidos que no versen sobre sus datos personales.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BA7" w:rsidRDefault="00E80782" w:rsidP="00E80782">
    <w:pPr>
      <w:pStyle w:val="Encabezado"/>
      <w:ind w:left="3402"/>
      <w:rPr>
        <w:rFonts w:cs="Arial"/>
        <w:b/>
        <w:sz w:val="24"/>
      </w:rPr>
    </w:pPr>
    <w:r>
      <w:rPr>
        <w:rFonts w:cs="Arial"/>
        <w:b/>
        <w:sz w:val="24"/>
      </w:rPr>
      <w:t>VOTO CONCURRENTE</w:t>
    </w:r>
    <w:r w:rsidRPr="00A10455">
      <w:rPr>
        <w:rFonts w:cs="Arial"/>
        <w:b/>
        <w:sz w:val="24"/>
      </w:rPr>
      <w:t xml:space="preserve"> QUE FORMULA EL MINISTRO JAVIER LAYNEZ POTISEK EN LA </w:t>
    </w:r>
    <w:r>
      <w:rPr>
        <w:rFonts w:cs="Arial"/>
        <w:b/>
        <w:sz w:val="24"/>
      </w:rPr>
      <w:t xml:space="preserve">ACCIÓN DE </w:t>
    </w:r>
    <w:r w:rsidRPr="00A10455">
      <w:rPr>
        <w:rFonts w:cs="Arial"/>
        <w:b/>
        <w:sz w:val="24"/>
      </w:rPr>
      <w:t xml:space="preserve">INCONSTITUCIONALIDAD </w:t>
    </w:r>
    <w:r>
      <w:rPr>
        <w:rFonts w:cs="Arial"/>
        <w:b/>
        <w:sz w:val="24"/>
      </w:rPr>
      <w:t>114/2017</w:t>
    </w:r>
  </w:p>
  <w:p w:rsidR="00C27BA7" w:rsidRDefault="007B5B8C" w:rsidP="00C27BA7">
    <w:pPr>
      <w:pStyle w:val="Encabezado"/>
      <w:ind w:left="283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BA7" w:rsidRDefault="00E80782" w:rsidP="00C27BA7">
    <w:pPr>
      <w:pStyle w:val="Encabezado"/>
      <w:ind w:left="2832"/>
      <w:rPr>
        <w:rFonts w:cs="Arial"/>
        <w:b/>
        <w:sz w:val="24"/>
      </w:rPr>
    </w:pPr>
    <w:r w:rsidRPr="00A4211C">
      <w:rPr>
        <w:rFonts w:cs="Arial"/>
        <w:b/>
        <w:noProof/>
        <w:sz w:val="26"/>
        <w:szCs w:val="26"/>
      </w:rPr>
      <mc:AlternateContent>
        <mc:Choice Requires="wps">
          <w:drawing>
            <wp:anchor distT="0" distB="0" distL="114300" distR="114300" simplePos="0" relativeHeight="251659264" behindDoc="1" locked="0" layoutInCell="1" allowOverlap="1" wp14:anchorId="75B690C3" wp14:editId="77DC703D">
              <wp:simplePos x="0" y="0"/>
              <wp:positionH relativeFrom="column">
                <wp:posOffset>0</wp:posOffset>
              </wp:positionH>
              <wp:positionV relativeFrom="paragraph">
                <wp:posOffset>174625</wp:posOffset>
              </wp:positionV>
              <wp:extent cx="2024380" cy="1879600"/>
              <wp:effectExtent l="0" t="0" r="0" b="6350"/>
              <wp:wrapTight wrapText="bothSides">
                <wp:wrapPolygon edited="0">
                  <wp:start x="0" y="0"/>
                  <wp:lineTo x="0" y="21454"/>
                  <wp:lineTo x="21343" y="21454"/>
                  <wp:lineTo x="21343" y="0"/>
                  <wp:lineTo x="0" y="0"/>
                </wp:wrapPolygon>
              </wp:wrapTight>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4380" cy="187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7B5C4" id="Rectángulo 1" o:spid="_x0000_s1026" style="position:absolute;margin-left:0;margin-top:13.75pt;width:159.4pt;height:1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" stroked="f">
              <w10:wrap type="tight"/>
            </v:rect>
          </w:pict>
        </mc:Fallback>
      </mc:AlternateContent>
    </w:r>
  </w:p>
  <w:p w:rsidR="00C27BA7" w:rsidRDefault="0036235D" w:rsidP="00C27BA7">
    <w:pPr>
      <w:pStyle w:val="Encabezado"/>
      <w:ind w:left="2832"/>
      <w:rPr>
        <w:rFonts w:cs="Arial"/>
        <w:b/>
        <w:sz w:val="24"/>
      </w:rPr>
    </w:pPr>
    <w:r>
      <w:rPr>
        <w:rFonts w:cs="Arial"/>
        <w:b/>
        <w:sz w:val="24"/>
      </w:rPr>
      <w:t>VOTO CONCURRENTE</w:t>
    </w:r>
    <w:r w:rsidRPr="00A10455">
      <w:rPr>
        <w:rFonts w:cs="Arial"/>
        <w:b/>
        <w:sz w:val="24"/>
      </w:rPr>
      <w:t xml:space="preserve"> QUE FORMULA EL MINISTRO JAVIER LAYNEZ POTISEK EN LA </w:t>
    </w:r>
    <w:r>
      <w:rPr>
        <w:rFonts w:cs="Arial"/>
        <w:b/>
        <w:sz w:val="24"/>
      </w:rPr>
      <w:t>AC</w:t>
    </w:r>
    <w:r w:rsidRPr="00A10455">
      <w:rPr>
        <w:rFonts w:cs="Arial"/>
        <w:b/>
        <w:sz w:val="24"/>
      </w:rPr>
      <w:t xml:space="preserve">CIÓN DE INCONSTITUCIONALIDAD </w:t>
    </w:r>
    <w:r w:rsidR="00B67FBB">
      <w:rPr>
        <w:rFonts w:cs="Arial"/>
        <w:b/>
        <w:sz w:val="24"/>
      </w:rPr>
      <w:t>114</w:t>
    </w:r>
    <w:r>
      <w:rPr>
        <w:rFonts w:cs="Arial"/>
        <w:b/>
        <w:sz w:val="24"/>
      </w:rPr>
      <w:t>/201</w:t>
    </w:r>
    <w:r w:rsidR="00B67FBB">
      <w:rPr>
        <w:rFonts w:cs="Arial"/>
        <w:b/>
        <w:sz w:val="24"/>
      </w:rPr>
      <w:t>7</w:t>
    </w:r>
  </w:p>
  <w:p w:rsidR="00C27BA7" w:rsidRPr="00A10455" w:rsidRDefault="007B5B8C" w:rsidP="00C27BA7">
    <w:pPr>
      <w:pStyle w:val="Encabezado"/>
      <w:ind w:left="2832"/>
      <w:rPr>
        <w:rFonts w:cs="Arial"/>
        <w:b/>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BA7" w:rsidRDefault="0036235D" w:rsidP="00C27BA7">
    <w:pPr>
      <w:pStyle w:val="Encabezado"/>
      <w:tabs>
        <w:tab w:val="clear" w:pos="4419"/>
        <w:tab w:val="clear" w:pos="8838"/>
        <w:tab w:val="left" w:pos="12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076720"/>
    <w:multiLevelType w:val="hybridMultilevel"/>
    <w:tmpl w:val="F55C84C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24"/>
    <w:rsid w:val="00234D77"/>
    <w:rsid w:val="002A0EC7"/>
    <w:rsid w:val="002D545E"/>
    <w:rsid w:val="0036235D"/>
    <w:rsid w:val="003841AA"/>
    <w:rsid w:val="004312E4"/>
    <w:rsid w:val="004B78D8"/>
    <w:rsid w:val="004C6D12"/>
    <w:rsid w:val="00513AE9"/>
    <w:rsid w:val="00631C5A"/>
    <w:rsid w:val="00705BBD"/>
    <w:rsid w:val="00771843"/>
    <w:rsid w:val="007B5B8C"/>
    <w:rsid w:val="007F1D37"/>
    <w:rsid w:val="008337D5"/>
    <w:rsid w:val="00883FAF"/>
    <w:rsid w:val="008868EB"/>
    <w:rsid w:val="009A12F8"/>
    <w:rsid w:val="009A64B4"/>
    <w:rsid w:val="00B67FBB"/>
    <w:rsid w:val="00C44E29"/>
    <w:rsid w:val="00C73541"/>
    <w:rsid w:val="00C74171"/>
    <w:rsid w:val="00CE10FB"/>
    <w:rsid w:val="00D07E5C"/>
    <w:rsid w:val="00E17ADF"/>
    <w:rsid w:val="00E80782"/>
    <w:rsid w:val="00E81AED"/>
    <w:rsid w:val="00EE13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0EFBF9-2D60-45F6-8281-021FBCD3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32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E1324"/>
    <w:pPr>
      <w:tabs>
        <w:tab w:val="center" w:pos="4419"/>
        <w:tab w:val="right" w:pos="8838"/>
      </w:tabs>
      <w:spacing w:after="0" w:line="240" w:lineRule="auto"/>
      <w:jc w:val="both"/>
    </w:pPr>
    <w:rPr>
      <w:rFonts w:ascii="Arial" w:eastAsia="Times New Roman" w:hAnsi="Arial" w:cs="Times New Roman"/>
      <w:sz w:val="30"/>
      <w:szCs w:val="24"/>
      <w:lang w:eastAsia="es-MX"/>
    </w:rPr>
  </w:style>
  <w:style w:type="character" w:customStyle="1" w:styleId="EncabezadoCar">
    <w:name w:val="Encabezado Car"/>
    <w:basedOn w:val="Fuentedeprrafopredeter"/>
    <w:link w:val="Encabezado"/>
    <w:rsid w:val="00EE1324"/>
    <w:rPr>
      <w:rFonts w:ascii="Arial" w:eastAsia="Times New Roman" w:hAnsi="Arial" w:cs="Times New Roman"/>
      <w:sz w:val="30"/>
      <w:szCs w:val="24"/>
      <w:lang w:eastAsia="es-MX"/>
    </w:rPr>
  </w:style>
  <w:style w:type="paragraph" w:styleId="Piedepgina">
    <w:name w:val="footer"/>
    <w:basedOn w:val="Normal"/>
    <w:link w:val="PiedepginaCar"/>
    <w:uiPriority w:val="99"/>
    <w:unhideWhenUsed/>
    <w:rsid w:val="00EE1324"/>
    <w:pPr>
      <w:tabs>
        <w:tab w:val="center" w:pos="4419"/>
        <w:tab w:val="right" w:pos="8838"/>
      </w:tabs>
      <w:spacing w:after="0" w:line="240" w:lineRule="auto"/>
      <w:jc w:val="both"/>
    </w:pPr>
    <w:rPr>
      <w:rFonts w:ascii="Arial" w:eastAsia="Times New Roman" w:hAnsi="Arial" w:cs="Times New Roman"/>
      <w:sz w:val="30"/>
      <w:szCs w:val="24"/>
      <w:lang w:eastAsia="es-MX"/>
    </w:rPr>
  </w:style>
  <w:style w:type="character" w:customStyle="1" w:styleId="PiedepginaCar">
    <w:name w:val="Pie de página Car"/>
    <w:basedOn w:val="Fuentedeprrafopredeter"/>
    <w:link w:val="Piedepgina"/>
    <w:uiPriority w:val="99"/>
    <w:rsid w:val="00EE1324"/>
    <w:rPr>
      <w:rFonts w:ascii="Arial" w:eastAsia="Times New Roman" w:hAnsi="Arial" w:cs="Times New Roman"/>
      <w:sz w:val="30"/>
      <w:szCs w:val="24"/>
      <w:lang w:eastAsia="es-MX"/>
    </w:rPr>
  </w:style>
  <w:style w:type="character" w:customStyle="1" w:styleId="corte4fondoCar2">
    <w:name w:val="corte4 fondo Car2"/>
    <w:link w:val="corte4fondo"/>
    <w:locked/>
    <w:rsid w:val="00EE1324"/>
    <w:rPr>
      <w:rFonts w:ascii="Arial" w:eastAsia="Times New Roman" w:hAnsi="Arial" w:cs="Times New Roman"/>
      <w:sz w:val="30"/>
      <w:szCs w:val="24"/>
      <w:lang w:val="es-ES_tradnl" w:eastAsia="es-MX"/>
    </w:rPr>
  </w:style>
  <w:style w:type="paragraph" w:customStyle="1" w:styleId="corte4fondo">
    <w:name w:val="corte4 fondo"/>
    <w:basedOn w:val="Normal"/>
    <w:link w:val="corte4fondoCar2"/>
    <w:qFormat/>
    <w:rsid w:val="00EE1324"/>
    <w:pPr>
      <w:spacing w:after="0" w:line="360" w:lineRule="auto"/>
      <w:ind w:firstLine="709"/>
      <w:jc w:val="both"/>
    </w:pPr>
    <w:rPr>
      <w:rFonts w:ascii="Arial" w:eastAsia="Times New Roman" w:hAnsi="Arial" w:cs="Times New Roman"/>
      <w:sz w:val="30"/>
      <w:szCs w:val="24"/>
      <w:lang w:val="es-ES_tradnl" w:eastAsia="es-MX"/>
    </w:rPr>
  </w:style>
  <w:style w:type="paragraph" w:styleId="Sinespaciado">
    <w:name w:val="No Spacing"/>
    <w:uiPriority w:val="1"/>
    <w:qFormat/>
    <w:rsid w:val="00EE1324"/>
    <w:pPr>
      <w:spacing w:after="0" w:line="240" w:lineRule="auto"/>
      <w:jc w:val="both"/>
    </w:pPr>
  </w:style>
  <w:style w:type="paragraph" w:styleId="Prrafodelista">
    <w:name w:val="List Paragraph"/>
    <w:aliases w:val="Cita texto,Footnote,List Paragraph1,Colorful List - Accent 11,Cuadrícula clara - Énfasis 31,Párrafo de lista1,Párrafo de lista2,List Paragraph"/>
    <w:basedOn w:val="Normal"/>
    <w:link w:val="PrrafodelistaCar"/>
    <w:uiPriority w:val="34"/>
    <w:qFormat/>
    <w:rsid w:val="00EE1324"/>
    <w:pPr>
      <w:spacing w:after="120" w:line="276" w:lineRule="auto"/>
      <w:ind w:left="720"/>
      <w:contextualSpacing/>
      <w:jc w:val="both"/>
    </w:pPr>
  </w:style>
  <w:style w:type="character" w:customStyle="1" w:styleId="PrrafodelistaCar">
    <w:name w:val="Párrafo de lista Car"/>
    <w:aliases w:val="Cita texto Car,Footnote Car,List Paragraph1 Car,Colorful List - Accent 11 Car,Cuadrícula clara - Énfasis 31 Car,Párrafo de lista1 Car,Párrafo de lista2 Car,List Paragraph Car"/>
    <w:link w:val="Prrafodelista"/>
    <w:uiPriority w:val="34"/>
    <w:locked/>
    <w:rsid w:val="00EE1324"/>
  </w:style>
  <w:style w:type="paragraph" w:styleId="Textonotapie">
    <w:name w:val="footnote text"/>
    <w:basedOn w:val="Normal"/>
    <w:link w:val="TextonotapieCar"/>
    <w:uiPriority w:val="99"/>
    <w:semiHidden/>
    <w:unhideWhenUsed/>
    <w:rsid w:val="00631C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C5A"/>
    <w:rPr>
      <w:sz w:val="20"/>
      <w:szCs w:val="20"/>
    </w:rPr>
  </w:style>
  <w:style w:type="character" w:styleId="Refdenotaalpie">
    <w:name w:val="footnote reference"/>
    <w:basedOn w:val="Fuentedeprrafopredeter"/>
    <w:uiPriority w:val="99"/>
    <w:semiHidden/>
    <w:unhideWhenUsed/>
    <w:rsid w:val="00631C5A"/>
    <w:rPr>
      <w:vertAlign w:val="superscript"/>
    </w:rPr>
  </w:style>
  <w:style w:type="paragraph" w:styleId="Textodeglobo">
    <w:name w:val="Balloon Text"/>
    <w:basedOn w:val="Normal"/>
    <w:link w:val="TextodegloboCar"/>
    <w:uiPriority w:val="99"/>
    <w:semiHidden/>
    <w:unhideWhenUsed/>
    <w:rsid w:val="00234D7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4D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170F7-FA1A-40C3-937B-ACDCC8EC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2729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SCJN</Company>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GUADALUPE FLORES DE QUEVEDO</dc:creator>
  <cp:keywords/>
  <dc:description/>
  <cp:lastModifiedBy>GABRIELA RUIZ CONTRERAS</cp:lastModifiedBy>
  <cp:revision>2</cp:revision>
  <cp:lastPrinted>2019-08-15T15:53:00Z</cp:lastPrinted>
  <dcterms:created xsi:type="dcterms:W3CDTF">2019-09-17T21:03:00Z</dcterms:created>
  <dcterms:modified xsi:type="dcterms:W3CDTF">2019-09-17T21:03:00Z</dcterms:modified>
</cp:coreProperties>
</file>